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6"/>
        <w:spacing w:line="604" w:lineRule="atLeast"/>
        <w:rPr>
          <w:rFonts w:hint="eastAsia" w:ascii="黑体" w:hAnsi="黑体" w:eastAsia="黑体"/>
          <w:sz w:val="32"/>
        </w:rPr>
      </w:pPr>
      <w:r>
        <w:rPr>
          <w:rFonts w:hint="eastAsia" w:ascii="黑体" w:hAnsi="黑体" w:eastAsia="黑体"/>
          <w:sz w:val="32"/>
        </w:rPr>
        <w:t>附件</w:t>
      </w:r>
    </w:p>
    <w:p>
      <w:pPr>
        <w:widowControl w:val="0"/>
        <w:tabs>
          <w:tab w:val="left" w:pos="7551"/>
        </w:tabs>
        <w:spacing w:line="528" w:lineRule="atLeast"/>
        <w:ind w:right="-101"/>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2021年行政执法责任制工作细则</w:t>
      </w:r>
    </w:p>
    <w:p>
      <w:pPr>
        <w:widowControl w:val="0"/>
        <w:spacing w:line="528" w:lineRule="atLeast"/>
        <w:ind w:right="-101"/>
        <w:jc w:val="center"/>
        <w:rPr>
          <w:rFonts w:hint="eastAsia" w:ascii="方正小标宋简体" w:hAnsi="方正小标宋简体" w:eastAsia="方正小标宋简体"/>
          <w:sz w:val="44"/>
        </w:rPr>
      </w:pPr>
    </w:p>
    <w:p>
      <w:pPr>
        <w:pStyle w:val="25"/>
        <w:spacing w:line="263" w:lineRule="atLeast"/>
        <w:jc w:val="left"/>
        <w:rPr>
          <w:rFonts w:hint="eastAsia"/>
        </w:rPr>
      </w:pPr>
    </w:p>
    <w:tbl>
      <w:tblPr>
        <w:tblW w:w="8207"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06"/>
        <w:gridCol w:w="1797"/>
        <w:gridCol w:w="4739"/>
        <w:gridCol w:w="1065"/>
      </w:tblGrid>
      <w:tr>
        <w:trPr>
          <w:trHeight w:val="782" w:hRule="exact"/>
        </w:trPr>
        <w:tc>
          <w:tcPr>
            <w:tcW w:w="606" w:type="dxa"/>
            <w:tcBorders>
              <w:top w:val="single" w:color="auto" w:sz="4" w:space="0"/>
              <w:left w:val="single" w:color="auto" w:sz="4" w:space="0"/>
              <w:bottom w:val="single" w:color="auto" w:sz="4" w:space="0"/>
              <w:right w:val="single" w:color="auto" w:sz="4" w:space="0"/>
            </w:tcBorders>
            <w:vAlign w:val="top"/>
          </w:tcPr>
          <w:p>
            <w:pPr>
              <w:pStyle w:val="26"/>
              <w:spacing w:line="350" w:lineRule="atLeast"/>
              <w:jc w:val="center"/>
              <w:rPr>
                <w:rFonts w:hint="eastAsia" w:ascii="宋体" w:hAnsi="宋体"/>
                <w:b/>
                <w:sz w:val="28"/>
              </w:rPr>
            </w:pPr>
            <w:r>
              <w:rPr>
                <w:rFonts w:hint="eastAsia" w:ascii="宋体" w:hAnsi="宋体"/>
                <w:b/>
                <w:sz w:val="28"/>
              </w:rPr>
              <w:t>序</w:t>
            </w:r>
          </w:p>
          <w:p>
            <w:pPr>
              <w:pStyle w:val="26"/>
              <w:spacing w:line="350" w:lineRule="atLeast"/>
              <w:jc w:val="center"/>
              <w:rPr>
                <w:rFonts w:hint="eastAsia" w:ascii="宋体" w:hAnsi="宋体"/>
                <w:b/>
                <w:sz w:val="28"/>
              </w:rPr>
            </w:pPr>
            <w:r>
              <w:rPr>
                <w:rFonts w:hint="eastAsia" w:ascii="宋体" w:hAnsi="宋体"/>
                <w:b/>
                <w:sz w:val="28"/>
              </w:rPr>
              <w:t>号</w:t>
            </w:r>
          </w:p>
        </w:tc>
        <w:tc>
          <w:tcPr>
            <w:tcW w:w="1797"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宋体" w:hAnsi="宋体" w:eastAsia="宋体"/>
                <w:b/>
                <w:i w:val="0"/>
                <w:strike w:val="0"/>
                <w:color w:val="000000"/>
                <w:spacing w:val="0"/>
                <w:w w:val="100"/>
                <w:sz w:val="28"/>
              </w:rPr>
            </w:pPr>
            <w:r>
              <w:rPr>
                <w:rFonts w:ascii="宋体" w:hAnsi="宋体" w:eastAsia="宋体"/>
                <w:b/>
                <w:i w:val="0"/>
                <w:strike w:val="0"/>
                <w:color w:val="000000"/>
                <w:spacing w:val="0"/>
                <w:w w:val="100"/>
                <w:sz w:val="28"/>
              </w:rPr>
              <w:t>内 容</w:t>
            </w: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宋体" w:hAnsi="宋体" w:eastAsia="宋体"/>
                <w:b/>
                <w:i w:val="0"/>
                <w:strike w:val="0"/>
                <w:color w:val="000000"/>
                <w:spacing w:val="0"/>
                <w:w w:val="100"/>
                <w:sz w:val="28"/>
              </w:rPr>
            </w:pPr>
            <w:r>
              <w:rPr>
                <w:rFonts w:ascii="宋体" w:hAnsi="宋体" w:eastAsia="宋体"/>
                <w:b/>
                <w:i w:val="0"/>
                <w:strike w:val="0"/>
                <w:color w:val="000000"/>
                <w:spacing w:val="0"/>
                <w:w w:val="100"/>
                <w:sz w:val="28"/>
              </w:rPr>
              <w:t>细 则</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宋体" w:hAnsi="宋体" w:eastAsia="宋体"/>
                <w:b/>
                <w:i w:val="0"/>
                <w:strike w:val="0"/>
                <w:color w:val="000000"/>
                <w:spacing w:val="0"/>
                <w:w w:val="100"/>
                <w:sz w:val="28"/>
              </w:rPr>
            </w:pPr>
            <w:r>
              <w:rPr>
                <w:rFonts w:ascii="宋体" w:hAnsi="宋体" w:eastAsia="宋体"/>
                <w:b/>
                <w:i w:val="0"/>
                <w:strike w:val="0"/>
                <w:color w:val="000000"/>
                <w:spacing w:val="0"/>
                <w:w w:val="100"/>
                <w:sz w:val="28"/>
              </w:rPr>
              <w:t>完成</w:t>
            </w:r>
          </w:p>
          <w:p>
            <w:pPr>
              <w:pStyle w:val="24"/>
              <w:spacing w:line="356" w:lineRule="atLeast"/>
              <w:jc w:val="center"/>
              <w:textAlignment w:val="center"/>
              <w:rPr>
                <w:rFonts w:ascii="宋体" w:hAnsi="宋体" w:eastAsia="宋体"/>
                <w:b/>
                <w:i w:val="0"/>
                <w:strike w:val="0"/>
                <w:color w:val="000000"/>
                <w:spacing w:val="0"/>
                <w:w w:val="100"/>
                <w:sz w:val="28"/>
              </w:rPr>
            </w:pPr>
            <w:r>
              <w:rPr>
                <w:rFonts w:ascii="宋体" w:hAnsi="宋体" w:eastAsia="宋体"/>
                <w:b/>
                <w:i w:val="0"/>
                <w:strike w:val="0"/>
                <w:color w:val="000000"/>
                <w:spacing w:val="0"/>
                <w:w w:val="100"/>
                <w:sz w:val="28"/>
              </w:rPr>
              <w:t>期限</w:t>
            </w:r>
          </w:p>
        </w:tc>
      </w:tr>
      <w:tr>
        <w:trPr>
          <w:trHeight w:val="697" w:hRule="exac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610" w:lineRule="atLeast"/>
              <w:jc w:val="center"/>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一</w:t>
            </w: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480"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持续推行行政执法“三项制度”</w:t>
            </w: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安排部署本年度工作</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5月</w:t>
            </w:r>
          </w:p>
        </w:tc>
      </w:tr>
      <w:tr>
        <w:trPr>
          <w:trHeight w:val="1196"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根据法律法规规章立改废情况，动态调整并公布行政执法权责清单、岗责体系及行政执法流程图</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11月</w:t>
            </w:r>
          </w:p>
        </w:tc>
      </w:tr>
      <w:tr>
        <w:trPr>
          <w:trHeight w:val="1598"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建立健全行政执法全过程数字化记录工作机制，根据法律法规规章立改废情况，及时调整重大执法决定法制审核清单</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8月</w:t>
            </w:r>
          </w:p>
        </w:tc>
      </w:tr>
      <w:tr>
        <w:trPr>
          <w:trHeight w:val="793"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征集、推荐本系统高质量的行政执法“三项制度”、“教科书式”执法案例</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10月</w:t>
            </w:r>
          </w:p>
        </w:tc>
      </w:tr>
      <w:tr>
        <w:trPr>
          <w:trHeight w:val="793"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完善行政执法综合管理监督信息系统上的执法要素信息</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日常工作</w:t>
            </w:r>
          </w:p>
        </w:tc>
      </w:tr>
      <w:tr>
        <w:trPr>
          <w:trHeight w:val="731" w:hRule="exac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610" w:lineRule="atLeast"/>
              <w:jc w:val="center"/>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二</w:t>
            </w: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480" w:lineRule="atLeast"/>
              <w:jc w:val="center"/>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推进行政执法</w:t>
            </w:r>
          </w:p>
          <w:p>
            <w:pPr>
              <w:pStyle w:val="24"/>
              <w:spacing w:line="480"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规范化建设</w:t>
            </w: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贯彻落实和学习宣传《中华人民共和国行政处罚法》</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日常工作</w:t>
            </w:r>
          </w:p>
        </w:tc>
      </w:tr>
      <w:tr>
        <w:trPr>
          <w:trHeight w:val="1071"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相关执法部门及时制定、修订并公布我市地方性法规的行政处罚裁量标准和使用规则</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5月</w:t>
            </w:r>
          </w:p>
        </w:tc>
      </w:tr>
      <w:tr>
        <w:trPr>
          <w:trHeight w:val="731"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做好专业法律知识培训、考试和执法证件换发工作</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12月</w:t>
            </w:r>
          </w:p>
        </w:tc>
      </w:tr>
      <w:tr>
        <w:trPr>
          <w:trHeight w:val="600"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梳理行政裁决事项并向社会公布</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356"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10月</w:t>
            </w:r>
          </w:p>
        </w:tc>
      </w:tr>
      <w:tr>
        <w:trPr>
          <w:trHeight w:val="1878" w:hRule="exact"/>
        </w:trPr>
        <w:tc>
          <w:tcPr>
            <w:tcW w:w="606" w:type="dxa"/>
            <w:tcBorders>
              <w:top w:val="single" w:color="auto" w:sz="4" w:space="0"/>
              <w:left w:val="single" w:color="auto" w:sz="4" w:space="0"/>
              <w:bottom w:val="single" w:color="auto" w:sz="4" w:space="0"/>
              <w:right w:val="single" w:color="auto" w:sz="4" w:space="0"/>
            </w:tcBorders>
            <w:vAlign w:val="center"/>
          </w:tcPr>
          <w:p>
            <w:pPr>
              <w:pStyle w:val="24"/>
              <w:spacing w:line="610" w:lineRule="atLeast"/>
              <w:jc w:val="center"/>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三</w:t>
            </w:r>
          </w:p>
        </w:tc>
        <w:tc>
          <w:tcPr>
            <w:tcW w:w="1797" w:type="dxa"/>
            <w:tcBorders>
              <w:top w:val="single" w:color="auto" w:sz="4" w:space="0"/>
              <w:left w:val="single" w:color="auto" w:sz="4" w:space="0"/>
              <w:bottom w:val="single" w:color="auto" w:sz="4" w:space="0"/>
              <w:right w:val="single" w:color="auto" w:sz="4" w:space="0"/>
            </w:tcBorders>
            <w:vAlign w:val="center"/>
          </w:tcPr>
          <w:p>
            <w:pPr>
              <w:pStyle w:val="24"/>
              <w:spacing w:line="480"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行政执法责任制示范点培育工作</w:t>
            </w: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确定1-2个执法部门作为本系统的示范培育点，并做好组织指导、推选工作。</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439"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10月</w:t>
            </w:r>
          </w:p>
        </w:tc>
      </w:tr>
      <w:tr>
        <w:trPr>
          <w:trHeight w:val="1055" w:hRule="exact"/>
        </w:trPr>
        <w:tc>
          <w:tcPr>
            <w:tcW w:w="606" w:type="dxa"/>
            <w:tcBorders>
              <w:top w:val="single" w:color="auto" w:sz="4" w:space="0"/>
              <w:left w:val="single" w:color="auto" w:sz="4" w:space="0"/>
              <w:bottom w:val="single" w:color="auto" w:sz="4" w:space="0"/>
              <w:right w:val="single" w:color="auto" w:sz="4" w:space="0"/>
            </w:tcBorders>
            <w:vAlign w:val="center"/>
          </w:tcPr>
          <w:p>
            <w:pPr>
              <w:pStyle w:val="24"/>
              <w:spacing w:line="610" w:lineRule="atLeast"/>
              <w:jc w:val="center"/>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四</w:t>
            </w:r>
          </w:p>
        </w:tc>
        <w:tc>
          <w:tcPr>
            <w:tcW w:w="1797" w:type="dxa"/>
            <w:tcBorders>
              <w:top w:val="single" w:color="auto" w:sz="4" w:space="0"/>
              <w:left w:val="single" w:color="auto" w:sz="4" w:space="0"/>
              <w:bottom w:val="single" w:color="auto" w:sz="4" w:space="0"/>
              <w:right w:val="single" w:color="auto" w:sz="4" w:space="0"/>
            </w:tcBorders>
            <w:vAlign w:val="center"/>
          </w:tcPr>
          <w:p>
            <w:pPr>
              <w:pStyle w:val="24"/>
              <w:spacing w:line="480" w:lineRule="atLeast"/>
              <w:jc w:val="both"/>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行政执法案卷评查工作</w:t>
            </w: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对本系统执法案卷进行评查、评选、申报和推荐</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439"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9月</w:t>
            </w:r>
          </w:p>
        </w:tc>
      </w:tr>
      <w:tr>
        <w:trPr>
          <w:trHeight w:val="810" w:hRule="exac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610" w:lineRule="atLeast"/>
              <w:jc w:val="center"/>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五</w:t>
            </w: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480"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行政执法监督检查</w:t>
            </w: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做好重大行政处罚备案工作</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439"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日常工作</w:t>
            </w:r>
          </w:p>
        </w:tc>
      </w:tr>
      <w:tr>
        <w:trPr>
          <w:trHeight w:val="1218"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统计报送年度行政执法数据</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444"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2022年1月</w:t>
            </w:r>
            <w:r>
              <w:rPr>
                <w:rFonts w:hint="eastAsia" w:ascii="仿宋_GB2312" w:hAnsi="仿宋_GB2312" w:eastAsia="仿宋_GB2312"/>
                <w:b w:val="0"/>
                <w:i w:val="0"/>
                <w:strike w:val="0"/>
                <w:color w:val="000000"/>
                <w:spacing w:val="0"/>
                <w:w w:val="100"/>
                <w:sz w:val="24"/>
                <w:szCs w:val="24"/>
                <w:lang w:val="en-US" w:eastAsia="zh-CN"/>
              </w:rPr>
              <w:t>5</w:t>
            </w:r>
            <w:r>
              <w:rPr>
                <w:rFonts w:ascii="仿宋_GB2312" w:hAnsi="仿宋_GB2312" w:eastAsia="仿宋_GB2312"/>
                <w:b w:val="0"/>
                <w:i w:val="0"/>
                <w:strike w:val="0"/>
                <w:color w:val="000000"/>
                <w:spacing w:val="0"/>
                <w:w w:val="100"/>
                <w:sz w:val="24"/>
                <w:szCs w:val="24"/>
              </w:rPr>
              <w:t>日前</w:t>
            </w:r>
          </w:p>
        </w:tc>
      </w:tr>
      <w:tr>
        <w:trPr>
          <w:trHeight w:val="2126"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严格执行《河南省行政执法过错责任追究办法》，对本级发现和上级转办的案件及时处理反馈，执法监督检查等执法监督过程中发现的问题进行执法责任追究</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439"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日常工作</w:t>
            </w:r>
          </w:p>
        </w:tc>
      </w:tr>
      <w:tr>
        <w:trPr>
          <w:trHeight w:val="965" w:hRule="exact"/>
        </w:trPr>
        <w:tc>
          <w:tcPr>
            <w:tcW w:w="606" w:type="dxa"/>
            <w:vMerge w:val="continue"/>
            <w:tcBorders>
              <w:top w:val="single" w:color="auto" w:sz="4" w:space="0"/>
              <w:left w:val="single" w:color="auto" w:sz="4" w:space="0"/>
              <w:bottom w:val="single" w:color="auto" w:sz="4" w:space="0"/>
              <w:right w:val="single" w:color="auto" w:sz="4" w:space="0"/>
            </w:tcBorders>
            <w:vAlign w:val="center"/>
          </w:tcPr>
          <w:p/>
        </w:tc>
        <w:tc>
          <w:tcPr>
            <w:tcW w:w="1797" w:type="dxa"/>
            <w:vMerge w:val="continue"/>
            <w:tcBorders>
              <w:top w:val="single" w:color="auto" w:sz="4" w:space="0"/>
              <w:left w:val="single" w:color="auto" w:sz="4" w:space="0"/>
              <w:bottom w:val="single" w:color="auto" w:sz="4" w:space="0"/>
              <w:right w:val="single" w:color="auto" w:sz="4" w:space="0"/>
            </w:tcBorders>
            <w:vAlign w:val="center"/>
          </w:tcPr>
          <w:p/>
        </w:tc>
        <w:tc>
          <w:tcPr>
            <w:tcW w:w="4739" w:type="dxa"/>
            <w:tcBorders>
              <w:top w:val="single" w:color="auto" w:sz="4" w:space="0"/>
              <w:left w:val="single" w:color="auto" w:sz="4" w:space="0"/>
              <w:bottom w:val="single" w:color="auto" w:sz="4" w:space="0"/>
              <w:right w:val="single" w:color="auto" w:sz="4" w:space="0"/>
            </w:tcBorders>
            <w:vAlign w:val="center"/>
          </w:tcPr>
          <w:p>
            <w:pPr>
              <w:pStyle w:val="24"/>
              <w:spacing w:line="421" w:lineRule="atLeast"/>
              <w:jc w:val="left"/>
              <w:textAlignment w:val="center"/>
              <w:rPr>
                <w:rFonts w:ascii="仿宋_GB2312" w:hAnsi="仿宋_GB2312" w:eastAsia="仿宋_GB2312"/>
                <w:b w:val="0"/>
                <w:i w:val="0"/>
                <w:strike w:val="0"/>
                <w:color w:val="000000"/>
                <w:spacing w:val="0"/>
                <w:w w:val="100"/>
                <w:sz w:val="28"/>
              </w:rPr>
            </w:pPr>
            <w:r>
              <w:rPr>
                <w:rFonts w:ascii="仿宋_GB2312" w:hAnsi="仿宋_GB2312" w:eastAsia="仿宋_GB2312"/>
                <w:b w:val="0"/>
                <w:i w:val="0"/>
                <w:strike w:val="0"/>
                <w:color w:val="000000"/>
                <w:spacing w:val="0"/>
                <w:w w:val="100"/>
                <w:sz w:val="28"/>
              </w:rPr>
              <w:t>实行责任追究零报告制度，报送年度开展责任追究情况报告</w:t>
            </w:r>
          </w:p>
        </w:tc>
        <w:tc>
          <w:tcPr>
            <w:tcW w:w="1065" w:type="dxa"/>
            <w:tcBorders>
              <w:top w:val="single" w:color="auto" w:sz="4" w:space="0"/>
              <w:left w:val="single" w:color="auto" w:sz="4" w:space="0"/>
              <w:bottom w:val="single" w:color="auto" w:sz="4" w:space="0"/>
              <w:right w:val="single" w:color="auto" w:sz="4" w:space="0"/>
            </w:tcBorders>
            <w:vAlign w:val="center"/>
          </w:tcPr>
          <w:p>
            <w:pPr>
              <w:pStyle w:val="24"/>
              <w:spacing w:line="439" w:lineRule="atLeast"/>
              <w:jc w:val="center"/>
              <w:textAlignment w:val="center"/>
              <w:rPr>
                <w:rFonts w:ascii="仿宋_GB2312" w:hAnsi="仿宋_GB2312" w:eastAsia="仿宋_GB2312"/>
                <w:b w:val="0"/>
                <w:i w:val="0"/>
                <w:strike w:val="0"/>
                <w:color w:val="000000"/>
                <w:spacing w:val="0"/>
                <w:w w:val="100"/>
                <w:sz w:val="24"/>
                <w:szCs w:val="24"/>
              </w:rPr>
            </w:pPr>
            <w:r>
              <w:rPr>
                <w:rFonts w:ascii="仿宋_GB2312" w:hAnsi="仿宋_GB2312" w:eastAsia="仿宋_GB2312"/>
                <w:b w:val="0"/>
                <w:i w:val="0"/>
                <w:strike w:val="0"/>
                <w:color w:val="000000"/>
                <w:spacing w:val="0"/>
                <w:w w:val="100"/>
                <w:sz w:val="24"/>
                <w:szCs w:val="24"/>
              </w:rPr>
              <w:t>11月30日前</w:t>
            </w:r>
          </w:p>
        </w:tc>
      </w:tr>
    </w:tbl>
    <w:p>
      <w:pPr>
        <w:ind w:left="0" w:leftChars="0" w:firstLine="0" w:firstLineChars="0"/>
        <w:rPr>
          <w:rFonts w:hint="eastAsia"/>
        </w:rPr>
      </w:pPr>
    </w:p>
    <w:p>
      <w:pPr>
        <w:spacing w:line="560" w:lineRule="exact"/>
        <w:ind w:right="210" w:rightChars="100"/>
        <w:rPr>
          <w:lang w:val="en-US" w:eastAsia="zh-CN"/>
        </w:rPr>
      </w:pPr>
      <w:bookmarkStart w:id="0" w:name="_GoBack"/>
      <w:bookmarkEnd w:id="0"/>
      <w:r>
        <w:rPr>
          <w:rFonts w:ascii="Times New Roman" w:hAnsi="Times New Roman" w:eastAsia="宋体" w:cs="Times New Roman"/>
          <w:kern w:val="2"/>
          <w:sz w:val="32"/>
          <w:szCs w:val="24"/>
          <w:lang w:val="en-US" w:eastAsia="zh-CN" w:bidi="ar-SA"/>
        </w:rPr>
        <w:pict>
          <v:line id="直线 1025" o:spid="_x0000_s1028" style="position:absolute;left:0;margin-left:1.15pt;margin-top:25pt;height:0.05pt;width:436.5pt;rotation:0f;z-index:251658240;" o:ole="f" fillcolor="#FFFFFF" filled="f" o:preferrelative="t" stroked="t" coordsize="21600,21600">
            <v:fill on="f" color2="#FFFFFF" focus="0%"/>
            <v:stroke weight="1.25pt" color="#FFFFFF" color2="#FFFFFF" miterlimit="2"/>
            <v:imagedata gain="65536f" blacklevel="0f" gamma="0"/>
            <o:lock v:ext="edit" position="f" selection="f" grouping="f" rotation="f" cropping="f" text="f" aspectratio="f"/>
          </v:line>
        </w:pict>
      </w:r>
    </w:p>
    <w:sectPr>
      <w:footerReference r:id="rId4" w:type="default"/>
      <w:footerReference r:id="rId5" w:type="even"/>
      <w:pgSz w:w="11906" w:h="16838"/>
      <w:pgMar w:top="2098" w:right="1531" w:bottom="1298" w:left="1531" w:header="851" w:footer="1587" w:gutter="0"/>
      <w:paperSrc w:first="0" w:other="0"/>
      <w:pgBorders>
        <w:top w:val="none" w:color="auto" w:sz="0" w:space="0"/>
        <w:left w:val="none" w:color="auto" w:sz="0" w:space="0"/>
        <w:bottom w:val="none" w:color="auto" w:sz="0" w:space="0"/>
        <w:right w:val="none" w:color="auto" w:sz="0" w:space="0"/>
      </w:pgBorders>
      <w:pgNumType w:fmt="numberInDash"/>
      <w:cols w:space="0" w:num="1"/>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E4002EFF" w:usb1="C000247B" w:usb2="00000009" w:usb3="00000000" w:csb0="000001FF"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inherit">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ˎ̥">
    <w:altName w:val="Times New Roman"/>
    <w:panose1 w:val="00000000000000000000"/>
    <w:charset w:val="00"/>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N C Schbk Roman">
    <w:altName w:val="Times New Roman"/>
    <w:panose1 w:val="00000000000000000000"/>
    <w:charset w:val="00"/>
    <w:family w:val="auto"/>
    <w:pitch w:val="default"/>
    <w:sig w:usb0="00000000" w:usb1="00000000" w:usb2="00000000" w:usb3="00000000" w:csb0="00000001" w:csb1="00000000"/>
  </w:font>
  <w:font w:name="PingFang SC">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方正粗黑宋简体">
    <w:panose1 w:val="02000000000000000000"/>
    <w:charset w:val="86"/>
    <w:family w:val="auto"/>
    <w:pitch w:val="default"/>
    <w:sig w:usb0="A00002BF" w:usb1="184F6CFA" w:usb2="00000012" w:usb3="00000000" w:csb0="00040001" w:csb1="00000000"/>
  </w:font>
  <w:font w:name="Helvetica">
    <w:altName w:val="微软雅黑"/>
    <w:panose1 w:val="00000000000000000000"/>
    <w:charset w:val="00"/>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舒体">
    <w:altName w:val="宋体"/>
    <w:panose1 w:val="02010601030101010101"/>
    <w:charset w:val="86"/>
    <w:family w:val="auto"/>
    <w:pitch w:val="default"/>
    <w:sig w:usb0="00000003"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方正姚体">
    <w:altName w:val="宋体"/>
    <w:panose1 w:val="02010601030101010101"/>
    <w:charset w:val="86"/>
    <w:family w:val="auto"/>
    <w:pitch w:val="default"/>
    <w:sig w:usb0="00000003"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Noto Sans CJK SC">
    <w:altName w:val="宋体"/>
    <w:panose1 w:val="020B0500000000000000"/>
    <w:charset w:val="86"/>
    <w:family w:val="auto"/>
    <w:pitch w:val="default"/>
    <w:sig w:usb0="30000003" w:usb1="2BDF3C10" w:usb2="00000016" w:usb3="00000000" w:csb0="602E0107" w:csb1="00000000"/>
  </w:font>
  <w:font w:name="AR PL UKai CN">
    <w:altName w:val="宋体"/>
    <w:panose1 w:val="02000503000000000000"/>
    <w:charset w:val="86"/>
    <w:family w:val="auto"/>
    <w:pitch w:val="default"/>
    <w:sig w:usb0="A00002FF" w:usb1="3ACFFDFF" w:usb2="00000036" w:usb3="00000000" w:csb0="2016009F" w:csb1="DFD70000"/>
  </w:font>
  <w:font w:name="DejaVu Sans">
    <w:altName w:val="Segoe Print"/>
    <w:panose1 w:val="020B0603030804020204"/>
    <w:charset w:val="00"/>
    <w:family w:val="auto"/>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
    <w:altName w:val="Courier New"/>
    <w:panose1 w:val="00000000000000000000"/>
    <w:charset w:val="00"/>
    <w:family w:val="auto"/>
    <w:pitch w:val="default"/>
    <w:sig w:usb0="00000000" w:usb1="00000000" w:usb2="00000000" w:usb3="00000000" w:csb0="00040001" w:csb1="00000000"/>
  </w:font>
  <w:font w:name="文星标宋">
    <w:altName w:val="微软雅黑"/>
    <w:panose1 w:val="02010604000101010101"/>
    <w:charset w:val="86"/>
    <w:family w:val="auto"/>
    <w:pitch w:val="default"/>
    <w:sig w:usb0="00000003" w:usb1="080E0000" w:usb2="0000001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800002AF" w:usb1="084F6CF8" w:usb2="00000010" w:usb3="00000000" w:csb0="0004000F" w:csb1="00000000"/>
  </w:font>
  <w:font w:name="CESI黑体-GB2312">
    <w:altName w:val="黑体"/>
    <w:panose1 w:val="02000500000000000000"/>
    <w:charset w:val="86"/>
    <w:family w:val="auto"/>
    <w:pitch w:val="default"/>
    <w:sig w:usb0="800002BF" w:usb1="184F6CF8" w:usb2="00000012" w:usb3="00000000" w:csb0="0004000F" w:csb1="00000000"/>
  </w:font>
  <w:font w:name="Courier">
    <w:altName w:val="Courier New"/>
    <w:panose1 w:val="020005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hint="eastAsia" w:ascii="宋体" w:hAnsi="宋体"/>
        <w:sz w:val="28"/>
        <w:szCs w:val="28"/>
        <w:lang w:eastAsia="zh-CN"/>
      </w:rPr>
    </w:pPr>
    <w:r>
      <w:rPr>
        <w:rFonts w:ascii="Calibri" w:hAnsi="Calibri" w:eastAsia="宋体" w:cs="黑体"/>
        <w:kern w:val="2"/>
        <w:sz w:val="28"/>
        <w:szCs w:val="18"/>
        <w:lang w:val="en-US" w:eastAsia="zh-CN" w:bidi="ar-SA"/>
      </w:rPr>
      <w:pict>
        <v:shape id="文本框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ascii="宋体" w:hAnsi="宋体"/>
        <w:sz w:val="28"/>
        <w:szCs w:val="28"/>
        <w:lang w:eastAsia="zh-CN"/>
      </w:rPr>
    </w:pPr>
    <w:r>
      <w:rPr>
        <w:rFonts w:ascii="Calibri" w:hAnsi="Calibri" w:eastAsia="宋体" w:cs="黑体"/>
        <w:kern w:val="2"/>
        <w:sz w:val="28"/>
        <w:szCs w:val="18"/>
        <w:lang w:val="en-US" w:eastAsia="zh-CN" w:bidi="ar-SA"/>
      </w:rPr>
      <w:pict>
        <v:shape id="文本框4"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paragraph" w:styleId="2">
    <w:name w:val="Body Text Indent"/>
    <w:basedOn w:val="1"/>
    <w:uiPriority w:val="0"/>
    <w:pPr>
      <w:spacing w:after="120"/>
      <w:ind w:left="420" w:leftChars="200"/>
    </w:pPr>
  </w:style>
  <w:style w:type="paragraph" w:styleId="3">
    <w:name w:val="Plain Text"/>
    <w:basedOn w:val="1"/>
    <w:uiPriority w:val="0"/>
    <w:rPr>
      <w:rFonts w:ascii="宋体" w:hAnsi="Courier New" w:eastAsia="宋体" w:cs="Courier New"/>
      <w:szCs w:val="21"/>
    </w:rPr>
  </w:style>
  <w:style w:type="paragraph" w:styleId="4">
    <w:name w:val="footer"/>
    <w:basedOn w:val="1"/>
    <w:link w:val="19"/>
    <w:uiPriority w:val="0"/>
    <w:pPr>
      <w:tabs>
        <w:tab w:val="center" w:pos="4153"/>
        <w:tab w:val="right" w:pos="8306"/>
      </w:tabs>
      <w:snapToGrid w:val="0"/>
      <w:jc w:val="left"/>
    </w:pPr>
    <w:rPr>
      <w:sz w:val="18"/>
      <w:szCs w:val="18"/>
    </w:rPr>
  </w:style>
  <w:style w:type="paragraph" w:styleId="5">
    <w:name w:val="Body Text First Indent 2"/>
    <w:basedOn w:val="2"/>
    <w:uiPriority w:val="0"/>
    <w:pPr>
      <w:ind w:firstLine="420" w:firstLineChars="200"/>
    </w:pPr>
    <w:rPr>
      <w:szCs w:val="22"/>
    </w:rPr>
  </w:style>
  <w:style w:type="paragraph" w:styleId="6">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rFonts w:ascii="Times New Roman" w:hAnsi="Times New Roman"/>
      <w:kern w:val="0"/>
      <w:sz w:val="24"/>
      <w:szCs w:val="24"/>
    </w:rPr>
  </w:style>
  <w:style w:type="paragraph" w:styleId="8">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character" w:styleId="10">
    <w:name w:val="page number"/>
    <w:basedOn w:val="9"/>
    <w:uiPriority w:val="0"/>
    <w:rPr/>
  </w:style>
  <w:style w:type="character" w:styleId="11">
    <w:name w:val="Hyperlink"/>
    <w:basedOn w:val="9"/>
    <w:unhideWhenUsed/>
    <w:uiPriority w:val="99"/>
    <w:rPr>
      <w:color w:val="0563C1"/>
      <w:u w:val="single"/>
    </w:rPr>
  </w:style>
  <w:style w:type="paragraph" w:customStyle="1" w:styleId="12">
    <w:name w:val="正文文本 (3)"/>
    <w:basedOn w:val="1"/>
    <w:qFormat/>
    <w:uiPriority w:val="0"/>
    <w:pPr>
      <w:widowControl w:val="0"/>
      <w:shd w:val="clear" w:color="auto" w:fill="FFFFFF"/>
      <w:spacing w:line="590" w:lineRule="exact"/>
      <w:ind w:firstLine="660"/>
    </w:pPr>
    <w:rPr>
      <w:rFonts w:ascii="黑体" w:hAnsi="黑体" w:eastAsia="黑体" w:cs="黑体"/>
      <w:sz w:val="32"/>
      <w:szCs w:val="32"/>
      <w:u w:val="none"/>
      <w:lang w:val="zh-CN" w:eastAsia="zh-CN" w:bidi="zh-CN"/>
    </w:rPr>
  </w:style>
  <w:style w:type="paragraph" w:customStyle="1" w:styleId="13">
    <w:name w:val="其他"/>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4">
    <w:name w:val="正文文本1"/>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5">
    <w:name w:val="Body Text First Indent1"/>
    <w:basedOn w:val="6"/>
    <w:qFormat/>
    <w:uiPriority w:val="99"/>
    <w:pPr>
      <w:pBdr>
        <w:bottom w:val="none" w:color="auto" w:sz="0" w:space="0"/>
      </w:pBdr>
      <w:snapToGrid/>
      <w:spacing w:after="120"/>
      <w:ind w:firstLine="420" w:firstLineChars="100"/>
      <w:jc w:val="both"/>
    </w:pPr>
    <w:rPr>
      <w:rFonts w:ascii="Calibri" w:hAnsi="Calibri" w:eastAsia="宋体" w:cs="Calibri"/>
      <w:sz w:val="21"/>
      <w:szCs w:val="21"/>
    </w:rPr>
  </w:style>
  <w:style w:type="paragraph" w:customStyle="1" w:styleId="16">
    <w:name w:val="列出段落2"/>
    <w:basedOn w:val="1"/>
    <w:qFormat/>
    <w:uiPriority w:val="0"/>
    <w:pPr>
      <w:ind w:firstLine="420" w:firstLineChars="200"/>
    </w:pPr>
    <w:rPr>
      <w:rFonts w:eastAsia="仿宋_GB2312"/>
      <w:sz w:val="32"/>
      <w:szCs w:val="32"/>
    </w:rPr>
  </w:style>
  <w:style w:type="paragraph" w:customStyle="1" w:styleId="17">
    <w:name w:val="页眉或页脚"/>
    <w:basedOn w:val="1"/>
    <w:qFormat/>
    <w:uiPriority w:val="0"/>
    <w:pPr>
      <w:widowControl w:val="0"/>
      <w:shd w:val="clear" w:color="auto" w:fill="FFFFFF"/>
    </w:pPr>
    <w:rPr>
      <w:rFonts w:ascii="宋体" w:hAnsi="宋体" w:eastAsia="宋体" w:cs="宋体"/>
      <w:sz w:val="28"/>
      <w:szCs w:val="28"/>
      <w:u w:val="none"/>
      <w:lang w:val="zh-CN" w:eastAsia="zh-CN" w:bidi="zh-CN"/>
    </w:rPr>
  </w:style>
  <w:style w:type="character" w:customStyle="1" w:styleId="18">
    <w:name w:val="页眉 Char Char"/>
    <w:basedOn w:val="9"/>
    <w:link w:val="6"/>
    <w:uiPriority w:val="0"/>
    <w:rPr>
      <w:kern w:val="2"/>
      <w:sz w:val="18"/>
      <w:szCs w:val="18"/>
    </w:rPr>
  </w:style>
  <w:style w:type="character" w:customStyle="1" w:styleId="19">
    <w:name w:val="页脚 Char Char"/>
    <w:basedOn w:val="9"/>
    <w:link w:val="4"/>
    <w:uiPriority w:val="0"/>
    <w:rPr>
      <w:kern w:val="2"/>
      <w:sz w:val="18"/>
      <w:szCs w:val="18"/>
    </w:rPr>
  </w:style>
  <w:style w:type="character" w:customStyle="1" w:styleId="20">
    <w:name w:val="font41"/>
    <w:basedOn w:val="9"/>
    <w:qFormat/>
    <w:uiPriority w:val="0"/>
    <w:rPr>
      <w:rFonts w:hint="eastAsia" w:ascii="宋体" w:hAnsi="宋体" w:eastAsia="宋体" w:cs="宋体"/>
      <w:color w:val="000000"/>
      <w:sz w:val="18"/>
      <w:szCs w:val="18"/>
      <w:u w:val="none"/>
    </w:rPr>
  </w:style>
  <w:style w:type="character" w:customStyle="1" w:styleId="21">
    <w:name w:val="font21"/>
    <w:basedOn w:val="9"/>
    <w:uiPriority w:val="0"/>
    <w:rPr>
      <w:rFonts w:hint="eastAsia" w:ascii="宋体" w:hAnsi="宋体" w:eastAsia="宋体" w:cs="宋体"/>
      <w:color w:val="FF0000"/>
      <w:sz w:val="21"/>
      <w:szCs w:val="21"/>
      <w:u w:val="none"/>
    </w:rPr>
  </w:style>
  <w:style w:type="character" w:customStyle="1" w:styleId="22">
    <w:name w:val="font01"/>
    <w:basedOn w:val="9"/>
    <w:qFormat/>
    <w:uiPriority w:val="0"/>
    <w:rPr>
      <w:rFonts w:hint="eastAsia" w:ascii="宋体" w:hAnsi="宋体" w:eastAsia="宋体" w:cs="宋体"/>
      <w:color w:val="000000"/>
      <w:sz w:val="24"/>
      <w:szCs w:val="24"/>
      <w:u w:val="none"/>
    </w:rPr>
  </w:style>
  <w:style w:type="character" w:customStyle="1" w:styleId="23">
    <w:name w:val="font11"/>
    <w:basedOn w:val="9"/>
    <w:qFormat/>
    <w:uiPriority w:val="0"/>
    <w:rPr>
      <w:rFonts w:hint="eastAsia" w:ascii="宋体" w:hAnsi="宋体" w:eastAsia="宋体" w:cs="宋体"/>
      <w:color w:val="000000"/>
      <w:sz w:val="18"/>
      <w:szCs w:val="18"/>
      <w:u w:val="none"/>
      <w:vertAlign w:val="subscript"/>
    </w:rPr>
  </w:style>
  <w:style w:type="paragraph" w:customStyle="1" w:styleId="24">
    <w:name w:val="WPS Plain"/>
    <w:uiPriority w:val="0"/>
  </w:style>
  <w:style w:type="paragraph" w:customStyle="1" w:styleId="25">
    <w:name w:val="正文 New New New New New New New New New New New New New New New New New New New New New New New New New New New New New New New New New New New New New2"/>
    <w:uiPriority w:val="0"/>
    <w:pPr>
      <w:spacing w:before="0" w:after="0" w:line="408" w:lineRule="auto"/>
      <w:ind w:left="1" w:right="0" w:firstLine="0"/>
      <w:jc w:val="both"/>
      <w:textAlignment w:val="bottom"/>
    </w:pPr>
    <w:rPr>
      <w:rFonts w:ascii="Calibri" w:hAnsi="Calibri" w:eastAsia="宋体"/>
      <w:color w:val="000000"/>
      <w:spacing w:val="0"/>
      <w:w w:val="100"/>
      <w:sz w:val="21"/>
    </w:rPr>
  </w:style>
  <w:style w:type="paragraph" w:customStyle="1" w:styleId="26">
    <w:name w:val="正文 New New New New New New New New New New New New New New New New New New New New New New New New New New New New New New New New New New New New New"/>
    <w:uiPriority w:val="0"/>
    <w:pPr>
      <w:spacing w:before="0" w:after="0" w:line="408" w:lineRule="auto"/>
      <w:ind w:left="1" w:right="0" w:firstLine="0"/>
      <w:jc w:val="both"/>
      <w:textAlignment w:val="bottom"/>
    </w:pPr>
    <w:rPr>
      <w:rFonts w:ascii="Calibri" w:hAnsi="Calibri" w:eastAsia="宋体"/>
      <w:color w:val="000000"/>
      <w:spacing w:val="0"/>
      <w:w w:val="100"/>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Words>
  <Characters>2145</Characters>
  <Lines>17</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2021-01-25T02:00:00Z</dcterms:created>
  <dc:creator>Administrator</dc:creator>
  <cp:lastModifiedBy>Administrator</cp:lastModifiedBy>
  <cp:lastPrinted>2021-03-09T01:27:00Z</cp:lastPrinted>
  <dcterms:modified xsi:type="dcterms:W3CDTF">2021-12-30T09:04:08Z</dcterms:modified>
  <dc:title>焦市监〔2021〕21号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