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pacing w:before="0" w:after="0" w:line="600" w:lineRule="exact"/>
        <w:ind w:left="0" w:leftChars="0" w:right="0"/>
        <w:textAlignment w:val="auto"/>
        <w:outlineLvl w:val="9"/>
        <w:rPr>
          <w:rFonts w:hint="eastAsia" w:ascii="黑体" w:hAnsi="黑体" w:eastAsia="黑体" w:cs="黑体"/>
          <w:color w:val="000000"/>
          <w:kern w:val="21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1"/>
          <w:sz w:val="32"/>
          <w:szCs w:val="32"/>
        </w:rPr>
        <w:t>附件2</w:t>
      </w:r>
    </w:p>
    <w:p>
      <w:pPr>
        <w:widowControl w:val="0"/>
        <w:wordWrap/>
        <w:adjustRightIn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ascii="宋体" w:hAnsi="宋体" w:eastAsia="仿宋_GB2312" w:cs="仿宋_GB2312"/>
          <w:color w:val="000000"/>
          <w:kern w:val="21"/>
          <w:sz w:val="32"/>
          <w:szCs w:val="32"/>
        </w:rPr>
      </w:pPr>
    </w:p>
    <w:p>
      <w:pPr>
        <w:widowControl w:val="0"/>
        <w:wordWrap/>
        <w:adjustRightInd/>
        <w:snapToGrid w:val="0"/>
        <w:spacing w:before="0" w:after="0"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2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1"/>
          <w:sz w:val="44"/>
          <w:szCs w:val="44"/>
        </w:rPr>
        <w:t>“呵护青少年健康成长”</w:t>
      </w:r>
    </w:p>
    <w:p>
      <w:pPr>
        <w:widowControl w:val="0"/>
        <w:wordWrap/>
        <w:adjustRightInd/>
        <w:snapToGrid w:val="0"/>
        <w:spacing w:before="0" w:after="0"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2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1"/>
          <w:sz w:val="44"/>
          <w:szCs w:val="44"/>
        </w:rPr>
        <w:t>——教育培训类广告清理整治行动方案</w:t>
      </w:r>
    </w:p>
    <w:p>
      <w:pPr>
        <w:widowControl w:val="0"/>
        <w:wordWrap/>
        <w:adjustRightIn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ascii="宋体" w:hAnsi="宋体" w:eastAsia="仿宋_GB2312" w:cs="黑体"/>
          <w:color w:val="000000"/>
          <w:kern w:val="21"/>
          <w:sz w:val="32"/>
          <w:szCs w:val="32"/>
        </w:rPr>
      </w:pPr>
    </w:p>
    <w:p>
      <w:pPr>
        <w:widowControl w:val="0"/>
        <w:wordWrap/>
        <w:adjustRightIn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kern w:val="21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1"/>
          <w:sz w:val="32"/>
          <w:szCs w:val="32"/>
        </w:rPr>
        <w:t>一、活动主题</w:t>
      </w:r>
    </w:p>
    <w:p>
      <w:pPr>
        <w:widowControl w:val="0"/>
        <w:wordWrap/>
        <w:adjustRightIn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ascii="宋体" w:hAnsi="宋体" w:eastAsia="仿宋_GB2312" w:cs="仿宋_GB2312"/>
          <w:color w:val="000000"/>
          <w:kern w:val="21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kern w:val="21"/>
          <w:sz w:val="32"/>
          <w:szCs w:val="32"/>
        </w:rPr>
        <w:t>“呵护青少年健康成长”——教育培训类广告清理整治行动。</w:t>
      </w:r>
    </w:p>
    <w:p>
      <w:pPr>
        <w:widowControl w:val="0"/>
        <w:wordWrap/>
        <w:adjustRightIn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kern w:val="21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1"/>
          <w:sz w:val="32"/>
          <w:szCs w:val="32"/>
        </w:rPr>
        <w:t>二、目标任务</w:t>
      </w:r>
    </w:p>
    <w:p>
      <w:pPr>
        <w:widowControl w:val="0"/>
        <w:wordWrap/>
        <w:adjustRightIn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ascii="宋体" w:hAnsi="宋体" w:eastAsia="仿宋_GB2312" w:cs="仿宋_GB2312"/>
          <w:color w:val="000000"/>
          <w:kern w:val="21"/>
          <w:sz w:val="32"/>
          <w:szCs w:val="40"/>
        </w:rPr>
      </w:pPr>
      <w:r>
        <w:rPr>
          <w:rFonts w:hint="eastAsia" w:ascii="宋体" w:hAnsi="宋体" w:eastAsia="仿宋_GB2312" w:cs="仿宋_GB2312"/>
          <w:color w:val="000000"/>
          <w:kern w:val="21"/>
          <w:sz w:val="32"/>
          <w:szCs w:val="32"/>
        </w:rPr>
        <w:t>努力实现教育培训类虚假违法广告明显减少，教育培训类广告更加规范，青少年合法权益得到有效保障，学习、成长环境进一步改善。</w:t>
      </w:r>
    </w:p>
    <w:p>
      <w:pPr>
        <w:widowControl w:val="0"/>
        <w:wordWrap/>
        <w:adjustRightIn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kern w:val="21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1"/>
          <w:sz w:val="32"/>
          <w:szCs w:val="32"/>
        </w:rPr>
        <w:t>三、工作措施</w:t>
      </w:r>
    </w:p>
    <w:p>
      <w:pPr>
        <w:widowControl w:val="0"/>
        <w:wordWrap/>
        <w:adjustRightIn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000000"/>
          <w:kern w:val="21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21"/>
          <w:sz w:val="32"/>
          <w:szCs w:val="32"/>
        </w:rPr>
        <w:t>（一）加强广告监测，及时发现问题。</w:t>
      </w:r>
    </w:p>
    <w:p>
      <w:pPr>
        <w:widowControl w:val="0"/>
        <w:wordWrap/>
        <w:adjustRightIn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ascii="宋体" w:hAnsi="宋体" w:eastAsia="仿宋_GB2312" w:cs="仿宋_GB2312"/>
          <w:color w:val="000000"/>
          <w:kern w:val="21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kern w:val="21"/>
          <w:sz w:val="32"/>
          <w:szCs w:val="32"/>
        </w:rPr>
        <w:t>部署开展教育培训专项广告监测，及时发现涉教育培训类虚假违法广告线索；加强与教育等相关部门沟通，有效提升发现问题线索能力。</w:t>
      </w:r>
    </w:p>
    <w:p>
      <w:pPr>
        <w:widowControl w:val="0"/>
        <w:wordWrap/>
        <w:adjustRightIn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000000"/>
          <w:kern w:val="21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21"/>
          <w:sz w:val="32"/>
          <w:szCs w:val="32"/>
        </w:rPr>
        <w:t>（二）加强导向监管，守护心灵健康。</w:t>
      </w:r>
    </w:p>
    <w:p>
      <w:pPr>
        <w:widowControl w:val="0"/>
        <w:wordWrap/>
        <w:adjustRightIn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ascii="宋体" w:hAnsi="宋体" w:eastAsia="仿宋_GB2312" w:cs="仿宋_GB2312"/>
          <w:color w:val="000000"/>
          <w:kern w:val="21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kern w:val="21"/>
          <w:sz w:val="32"/>
          <w:szCs w:val="32"/>
        </w:rPr>
        <w:t>加大对教育培训类广告、教育培训节目映前广告的监管力度，对含有不良导向内容的相关广告零容忍，确保教育培训类广告积极正面、健康向上的主基调。</w:t>
      </w:r>
    </w:p>
    <w:p>
      <w:pPr>
        <w:widowControl w:val="0"/>
        <w:wordWrap/>
        <w:adjustRightIn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000000"/>
          <w:kern w:val="21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21"/>
          <w:sz w:val="32"/>
          <w:szCs w:val="32"/>
        </w:rPr>
        <w:t>（三）组织案件查办，形成高压态势。</w:t>
      </w:r>
    </w:p>
    <w:p>
      <w:pPr>
        <w:widowControl w:val="0"/>
        <w:wordWrap/>
        <w:adjustRightIn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ascii="宋体" w:hAnsi="宋体" w:eastAsia="仿宋_GB2312" w:cs="仿宋_GB2312"/>
          <w:color w:val="000000"/>
          <w:kern w:val="21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kern w:val="21"/>
          <w:sz w:val="32"/>
          <w:szCs w:val="32"/>
        </w:rPr>
        <w:t>与教育部门协作配合，查办重点案件，严厉查处利用科研单位、学术机构、教育机构等作推荐、证明的教育培训广告，重点打击假扮专家、教授，误导学生的虚假违法广告。紧盯重要节点，突出“儿童节”、寒暑假、开学季等重点时段，加强监测监管，组织查处一批影响大的案件。</w:t>
      </w:r>
    </w:p>
    <w:p>
      <w:pPr>
        <w:widowControl w:val="0"/>
        <w:wordWrap/>
        <w:adjustRightIn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000000"/>
          <w:kern w:val="21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21"/>
          <w:sz w:val="32"/>
          <w:szCs w:val="32"/>
        </w:rPr>
        <w:t>（四）开展联合执法，提升监管合力。</w:t>
      </w:r>
    </w:p>
    <w:p>
      <w:pPr>
        <w:widowControl w:val="0"/>
        <w:wordWrap/>
        <w:adjustRightIn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ascii="宋体" w:hAnsi="宋体" w:eastAsia="仿宋_GB2312" w:cs="仿宋_GB2312"/>
          <w:color w:val="000000"/>
          <w:kern w:val="21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kern w:val="21"/>
          <w:sz w:val="32"/>
          <w:szCs w:val="32"/>
        </w:rPr>
        <w:t>联合宣传、广电、网信等相关部门加强对广播、电视等传统媒体及互联网发布虚假教育培训广告的打击力度。加强部门协同，市场监管部门依法对发布相关虚假违法广告的单位实施行政处罚后，及时向宣传、广电、新闻出版等部门通报情况，由其对责任单位、责任人员追究责任。</w:t>
      </w:r>
    </w:p>
    <w:p>
      <w:pPr>
        <w:widowControl w:val="0"/>
        <w:wordWrap/>
        <w:adjustRightIn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000000"/>
          <w:kern w:val="21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21"/>
          <w:sz w:val="32"/>
          <w:szCs w:val="32"/>
        </w:rPr>
        <w:t>（五）加强行政指导，压实平台责任。</w:t>
      </w:r>
    </w:p>
    <w:p>
      <w:pPr>
        <w:widowControl w:val="0"/>
        <w:wordWrap/>
        <w:adjustRightIn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ascii="宋体" w:hAnsi="宋体" w:eastAsia="仿宋_GB2312" w:cs="仿宋_GB2312"/>
          <w:color w:val="000000"/>
          <w:kern w:val="21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kern w:val="21"/>
          <w:sz w:val="32"/>
          <w:szCs w:val="32"/>
        </w:rPr>
        <w:t>针对监测监管发现的问题，向互联网企业提出要求，并组织力量赴互联网企业开展实地指导，尤其加强对影响大、用户多的线上教育培训机构的行政指导，督促其合法合规开展经营。</w:t>
      </w:r>
    </w:p>
    <w:p>
      <w:pPr>
        <w:widowControl w:val="0"/>
        <w:wordWrap/>
        <w:adjustRightIn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000000"/>
          <w:kern w:val="21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21"/>
          <w:sz w:val="32"/>
          <w:szCs w:val="32"/>
        </w:rPr>
        <w:t>（六）曝光典型案例，形成有效震慑。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hint="eastAsia" w:ascii="宋体" w:hAnsi="宋体" w:eastAsia="仿宋_GB2312" w:cs="仿宋_GB2312"/>
          <w:color w:val="000000"/>
          <w:kern w:val="21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kern w:val="21"/>
          <w:sz w:val="32"/>
          <w:szCs w:val="32"/>
        </w:rPr>
        <w:t>精心选取，适时发布虚假违法教育培训类广告典型案例，有效震慑不法市场主体，为未成年人营造良好成长环境。</w:t>
      </w:r>
    </w:p>
    <w:p>
      <w:pPr>
        <w:widowControl/>
        <w:shd w:val="clear" w:color="auto" w:fill="FFFFFF"/>
        <w:spacing w:line="495" w:lineRule="atLeast"/>
        <w:rPr>
          <w:rFonts w:ascii="宋体" w:hAnsi="宋体" w:eastAsia="宋体" w:cs="宋体"/>
          <w:sz w:val="18"/>
          <w:szCs w:val="18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300" w:left="1531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oB3MscBAACY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+zKr&#10;0weoMek+YFoa3vkhZ05+QGcmPaho8xfpEIyjtuertnJIRORH69V6XWFIYGy+IA57eB4ipPfSW5KN&#10;hkYcXtGUnz5CGlPnlFzN+TttDPp5bdw/DsTMHpZ7H3vMVhr2w9T43rdn5NPj3BvqcM0pMR8cyppX&#10;ZDbibOxn4xiiPnRlh3I9CLfHhE2U3nKFEXYqjAMr7Kblyhvx+F6yHn6o7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PoB3MscBAACY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2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2" o:spid="_x0000_s1026" o:spt="202" type="#_x0000_t202" style="position:absolute;left:0pt;margin-top:0pt;height:18.15pt;width:3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2tWtSdAAAAAD&#10;AQAADwAAAGRycy9kb3ducmV2LnhtbE2PwWrDMBBE74X8g9hAb42UBpLgWs4h0EtvTUuhN8XaWKbS&#10;ykiKY/99t720l4Fhlpm39WEKXoyYch9Jw3qlQCC10fbUaXh/e37Yg8jFkDU+EmqYMcOhWdzVprLx&#10;Rq84nkonuIRyZTS4UoZKytw6DCav4oDE2SWmYArb1EmbzI3Lg5ePSm1lMD3xgjMDHh22X6dr0LCb&#10;PiIOGY/4eRnb5Pp5719mre+Xa/UEouBU/o7hB5/RoWGmc7ySzcJr4EfKr3K2U+zOGjbbDcimlv/Z&#10;m29QSwMEFAAAAAgAh07iQE4O1A3MAQAAlgMAAA4AAABkcnMvZTJvRG9jLnhtbK1TzY7TMBC+I/EO&#10;lu/U2dAiFDVdgapFSAiQdnkA13EaS/6Tx23SF4A34MSFO8/V52DsJF1297IHLs54ZvLNfN+M19eD&#10;0eQoAyhna3q1KCiRVrhG2X1Nv93dvHpLCURuG66dlTU9SaDXm5cv1r2vZOk6pxsZCIJYqHpf0y5G&#10;XzEGopOGw8J5aTHYumB4xGvYsybwHtGNZmVRvGG9C40PTkgA9G7HIJ0Qw3MAXdsqIbdOHIy0cUQN&#10;UvOIlKBTHugmd9u2UsQvbQsyEl1TZBrziUXQ3qWTbda82gfuOyWmFvhzWnjEyXBlsegFassjJ4eg&#10;nkAZJYID18aFcIaNRLIiyOKqeKTNbce9zFxQavAX0eH/wYrPx6+BqKamJSWWGxz4+eeP868/59/f&#10;y6RO76HCpFuPaXF47wbcmdkP6EykhzaY9EU6BOOo7emirRwiEehcLperAiMCQ+XrYlWsEgq7/9kH&#10;iB+kMyQZNQ04uqwoP36COKbOKamWdTdK6zw+bR84EDN5WOp87DBZcdgNE52da07Ipsep19TiklOi&#10;P1oUNS3IbITZ2M3GwQe17/IGpXrg3x0iNpF7SxVG2Kkwjiuzm1Yr7cO/95x1/5w2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a1a1J0AAAAAMBAAAPAAAAAAAAAAEAIAAAACIAAABkcnMvZG93bnJl&#10;di54bWxQSwECFAAUAAAACACHTuJATg7UDc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AF2CBC"/>
    <w:rsid w:val="74AF3C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563C1"/>
      <w:u w:val="single"/>
    </w:rPr>
  </w:style>
  <w:style w:type="paragraph" w:customStyle="1" w:styleId="10">
    <w:name w:val="正文文本 (3)"/>
    <w:basedOn w:val="1"/>
    <w:qFormat/>
    <w:uiPriority w:val="0"/>
    <w:pPr>
      <w:widowControl w:val="0"/>
      <w:shd w:val="clear" w:color="auto" w:fill="FFFFFF"/>
      <w:spacing w:line="590" w:lineRule="exact"/>
      <w:ind w:firstLine="660"/>
    </w:pPr>
    <w:rPr>
      <w:rFonts w:ascii="黑体" w:hAnsi="黑体" w:eastAsia="黑体" w:cs="黑体"/>
      <w:sz w:val="32"/>
      <w:szCs w:val="32"/>
      <w:u w:val="none"/>
      <w:lang w:val="zh-CN" w:eastAsia="zh-CN" w:bidi="zh-CN"/>
    </w:rPr>
  </w:style>
  <w:style w:type="paragraph" w:customStyle="1" w:styleId="11">
    <w:name w:val="其他"/>
    <w:basedOn w:val="1"/>
    <w:qFormat/>
    <w:uiPriority w:val="0"/>
    <w:pPr>
      <w:widowControl w:val="0"/>
      <w:shd w:val="clear" w:color="auto" w:fill="FFFFFF"/>
      <w:spacing w:line="391" w:lineRule="auto"/>
      <w:ind w:firstLine="400"/>
    </w:pPr>
    <w:rPr>
      <w:rFonts w:ascii="MingLiU" w:hAnsi="MingLiU" w:eastAsia="MingLiU" w:cs="MingLiU"/>
      <w:sz w:val="30"/>
      <w:szCs w:val="30"/>
      <w:u w:val="none"/>
      <w:lang w:val="zh-CN" w:eastAsia="zh-CN" w:bidi="zh-CN"/>
    </w:rPr>
  </w:style>
  <w:style w:type="paragraph" w:customStyle="1" w:styleId="12">
    <w:name w:val="正文文本1"/>
    <w:basedOn w:val="1"/>
    <w:qFormat/>
    <w:uiPriority w:val="0"/>
    <w:pPr>
      <w:widowControl w:val="0"/>
      <w:shd w:val="clear" w:color="auto" w:fill="FFFFFF"/>
      <w:spacing w:line="391" w:lineRule="auto"/>
      <w:ind w:firstLine="400"/>
    </w:pPr>
    <w:rPr>
      <w:rFonts w:ascii="MingLiU" w:hAnsi="MingLiU" w:eastAsia="MingLiU" w:cs="MingLiU"/>
      <w:sz w:val="30"/>
      <w:szCs w:val="30"/>
      <w:u w:val="none"/>
      <w:lang w:val="zh-CN" w:eastAsia="zh-CN" w:bidi="zh-CN"/>
    </w:rPr>
  </w:style>
  <w:style w:type="character" w:customStyle="1" w:styleId="13">
    <w:name w:val="页眉 Char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 Char"/>
    <w:basedOn w:val="7"/>
    <w:link w:val="3"/>
    <w:uiPriority w:val="0"/>
    <w:rPr>
      <w:kern w:val="2"/>
      <w:sz w:val="18"/>
      <w:szCs w:val="18"/>
    </w:rPr>
  </w:style>
  <w:style w:type="character" w:customStyle="1" w:styleId="15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21"/>
    <w:basedOn w:val="7"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7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paragraph" w:customStyle="1" w:styleId="19">
    <w:name w:val="Body Text First Indent1"/>
    <w:basedOn w:val="4"/>
    <w:qFormat/>
    <w:uiPriority w:val="99"/>
    <w:pPr>
      <w:pBdr>
        <w:bottom w:val="none" w:color="auto" w:sz="0" w:space="0"/>
      </w:pBdr>
      <w:snapToGrid/>
      <w:spacing w:after="120"/>
      <w:ind w:firstLine="420" w:firstLineChars="100"/>
      <w:jc w:val="both"/>
    </w:pPr>
    <w:rPr>
      <w:rFonts w:ascii="Calibri" w:hAnsi="Calibri" w:eastAsia="宋体" w:cs="Calibr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376</Words>
  <Characters>2145</Characters>
  <Lines>17</Lines>
  <Paragraphs>5</Paragraphs>
  <TotalTime>0</TotalTime>
  <ScaleCrop>false</ScaleCrop>
  <LinksUpToDate>false</LinksUpToDate>
  <CharactersWithSpaces>0</CharactersWithSpaces>
  <Application>WPS Office_11.1.0.11284_F1E327BC-269C-435d-A152-05C5408002CA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2021-01-25T02:00:00Z</dcterms:created>
  <dc:creator>Administrator</dc:creator>
  <cp:lastModifiedBy>Administrator</cp:lastModifiedBy>
  <cp:lastPrinted>2021-03-09T01:27:00Z</cp:lastPrinted>
  <dcterms:modified xsi:type="dcterms:W3CDTF">2021-12-30T15:13:30Z</dcterms:modified>
  <dc:title>焦市监〔2021〕21号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EE0ADD034C264CFB8A4C4A2F5F883187</vt:lpwstr>
  </property>
</Properties>
</file>