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832" w:tblpY="948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271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查处无照经营专项行动工作统计表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统计起止时间（20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日）</w:t>
            </w:r>
          </w:p>
        </w:tc>
      </w:tr>
      <w:tr>
        <w:trPr>
          <w:trHeight w:val="323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填报单位：                           填报日期：2021年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出动执法人员（人次）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2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检查经营商户（户次）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4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/>
              </w:rPr>
              <w:t>会同有关部门采取联合行动（次）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5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查处校园周边无照经营户（户）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6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查处</w:t>
            </w:r>
            <w:r>
              <w:rPr>
                <w:rFonts w:hint="eastAsia" w:ascii="仿宋_GB2312" w:hAnsi="宋体" w:cs="宋体"/>
                <w:kern w:val="0"/>
              </w:rPr>
              <w:t>北山范围</w:t>
            </w:r>
            <w:r>
              <w:rPr>
                <w:rFonts w:ascii="仿宋_GB2312" w:hAnsi="宋体" w:cs="宋体"/>
                <w:kern w:val="0"/>
              </w:rPr>
              <w:t>无照经营户（户）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7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查处“散乱污”企业无照经营户（户）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8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吊销经营者营业执照（户）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9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指导办理营业执照（户）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10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受理群众举报（件）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11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办理案件数（件）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12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罚没款（万元）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13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/>
                <w:kern w:val="0"/>
              </w:rPr>
              <w:t>案值（万元）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14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抄告相关部门涉案线索（条）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15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开展宣传活动发放宣传资料（份）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黑体" w:hAnsi="宋体" w:eastAsia="黑体" w:cs="宋体"/>
                <w:b/>
                <w:bCs/>
                <w:kern w:val="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</w:rPr>
              <w:t>备注</w:t>
            </w:r>
          </w:p>
        </w:tc>
        <w:tc>
          <w:tcPr>
            <w:tcW w:w="7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4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/>
                <w:color w:val="000000"/>
                <w:kern w:val="0"/>
              </w:rPr>
              <w:t xml:space="preserve"> 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6" o:spt="20" style="position:absolute;left:0pt;margin-left:1.15pt;margin-top:25pt;height:0.05pt;width:436.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FF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footerReference r:id="rId3" w:type="default"/>
      <w:footerReference r:id="rId4" w:type="even"/>
      <w:pgSz w:w="11906" w:h="16838"/>
      <w:pgMar w:top="2098" w:right="1531" w:bottom="1298" w:left="1531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firstLine="28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B7D7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3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4">
    <w:name w:val="页眉 Char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2021-12-30T13:21:24Z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6C08FE5535F84D8790BF079AACA30E1B</vt:lpwstr>
  </property>
</Properties>
</file>