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焦作市食品药品监督管理局</w:t>
      </w:r>
    </w:p>
    <w:p>
      <w:pPr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2019年度部门预算(汇总)</w:t>
      </w:r>
    </w:p>
    <w:p>
      <w:pPr>
        <w:jc w:val="center"/>
        <w:rPr>
          <w:rFonts w:ascii="黑体" w:hAnsi="黑体" w:eastAsia="黑体" w:cs="黑体"/>
          <w:b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b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b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b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b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二0一九年三月</w:t>
      </w:r>
    </w:p>
    <w:p>
      <w:pPr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2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宋体" w:hAnsi="宋体" w:eastAsia="宋体" w:cs="仿宋_GB2312"/>
          <w:b/>
          <w:sz w:val="44"/>
          <w:szCs w:val="44"/>
        </w:rPr>
      </w:pPr>
      <w:r>
        <w:rPr>
          <w:rFonts w:hint="eastAsia" w:ascii="宋体" w:hAnsi="宋体" w:eastAsia="宋体" w:cs="仿宋_GB2312"/>
          <w:b/>
          <w:sz w:val="44"/>
          <w:szCs w:val="44"/>
        </w:rPr>
        <w:t>目</w:t>
      </w:r>
      <w:r>
        <w:rPr>
          <w:rFonts w:hint="eastAsia" w:ascii="宋体" w:hAnsi="宋体" w:eastAsia="宋体" w:cs="仿宋_GB2312"/>
          <w:b/>
          <w:spacing w:val="2"/>
          <w:sz w:val="44"/>
          <w:szCs w:val="44"/>
        </w:rPr>
        <w:t xml:space="preserve">   </w:t>
      </w:r>
      <w:r>
        <w:rPr>
          <w:rFonts w:hint="eastAsia" w:ascii="宋体" w:hAnsi="宋体" w:eastAsia="宋体" w:cs="仿宋_GB2312"/>
          <w:b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25" w:firstLineChars="200"/>
        <w:rPr>
          <w:rFonts w:ascii="黑体" w:hAnsi="黑体" w:eastAsia="黑体" w:cs="仿宋_GB2312"/>
          <w:b/>
          <w:w w:val="99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第一部分  概况</w:t>
      </w:r>
      <w:r>
        <w:rPr>
          <w:rFonts w:hint="eastAsia" w:ascii="黑体" w:hAnsi="黑体" w:eastAsia="黑体" w:cs="仿宋_GB2312"/>
          <w:b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3" w:firstLineChars="3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3" w:firstLineChars="3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5" w:firstLineChars="200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第二部分  焦作市食品药品监督管理局2019年预算情况说明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5" w:firstLineChars="200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第三部分 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5" w:firstLineChars="200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附件：焦作市食品药品监督管理局2019 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66" w:firstLineChars="6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66" w:firstLineChars="6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66" w:firstLineChars="6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66" w:firstLineChars="6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66" w:firstLineChars="6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66" w:firstLineChars="6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66" w:firstLineChars="6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66" w:firstLineChars="6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66" w:firstLineChars="6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九、国有资本经营预算收支情况表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66" w:firstLineChars="6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十、机关运行经费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66" w:firstLineChars="6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十一、预算项目支出绩效目标表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_GB2312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仿宋_GB2312"/>
          <w:b/>
          <w:bCs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sz w:val="44"/>
          <w:szCs w:val="44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仿宋_GB2312"/>
          <w:b/>
          <w:bCs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sz w:val="44"/>
          <w:szCs w:val="44"/>
        </w:rPr>
        <w:t>焦作市食品药品监督管理局概况</w:t>
      </w:r>
    </w:p>
    <w:p>
      <w:pPr>
        <w:adjustRightInd w:val="0"/>
        <w:snapToGrid w:val="0"/>
        <w:spacing w:line="360" w:lineRule="auto"/>
        <w:ind w:firstLine="622" w:firstLineChars="200"/>
        <w:jc w:val="center"/>
        <w:rPr>
          <w:rFonts w:ascii="仿宋" w:hAnsi="仿宋" w:eastAsia="仿宋" w:cs="仿宋_GB2312"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主要职能</w:t>
      </w:r>
    </w:p>
    <w:p>
      <w:pPr>
        <w:spacing w:line="600" w:lineRule="exact"/>
        <w:ind w:left="61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（一）机构设置情况</w:t>
      </w:r>
    </w:p>
    <w:p>
      <w:pPr>
        <w:spacing w:line="600" w:lineRule="exact"/>
        <w:ind w:firstLine="610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焦作市食品药品监督管理局</w:t>
      </w:r>
      <w:r>
        <w:rPr>
          <w:rFonts w:hint="eastAsia" w:ascii="仿宋" w:hAnsi="仿宋" w:eastAsia="仿宋" w:cs="仿宋"/>
          <w:sz w:val="32"/>
          <w:szCs w:val="32"/>
        </w:rPr>
        <w:t>为行政单位，核定编制73人。实有在编人员69人，退休人员24人。</w:t>
      </w:r>
    </w:p>
    <w:p>
      <w:pPr>
        <w:spacing w:line="600" w:lineRule="exact"/>
        <w:ind w:firstLine="610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焦作市食品药品检验所为全供事业单位，核定编制50人。在职职工45人，退休人员16人。</w:t>
      </w:r>
    </w:p>
    <w:p>
      <w:pPr>
        <w:spacing w:line="600" w:lineRule="exact"/>
        <w:ind w:firstLine="610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（二）部门职责</w:t>
      </w:r>
    </w:p>
    <w:p>
      <w:pPr>
        <w:spacing w:line="600" w:lineRule="exact"/>
        <w:ind w:firstLine="610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 xml:space="preserve">1.贯彻执行国家和省食品(含食品添加剂、保健食品,下同)安全、药品(含中药、民族药,下同)、医疗器械、化妆品监督管理法律、法规；建立食品药品重大信息直报制度并组织实施和监督检查,着力防范区域性、系统性食品药品安全风险。 </w:t>
      </w:r>
    </w:p>
    <w:p>
      <w:pPr>
        <w:spacing w:line="600" w:lineRule="exact"/>
        <w:ind w:firstLine="610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2.依法组织实施食品行政许可和质量安全监督管理。</w:t>
      </w:r>
    </w:p>
    <w:p>
      <w:pPr>
        <w:spacing w:line="600" w:lineRule="exact"/>
        <w:ind w:firstLine="610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3.监督实施国家药典等药品和医疗器械标准、分类管理制度。负责药品、医疗器械研制、生产、流通和使用质量安全监管；组织实施中药品种保护制度；建立药品不良反应、医疗器械不良事件监测体系,并开展监测和处置工作；配合做好国家基本药物制度实施工作；根据化妆品监督管理办法组织实施化妆品监督管理。</w:t>
      </w:r>
    </w:p>
    <w:p>
      <w:pPr>
        <w:spacing w:line="600" w:lineRule="exact"/>
        <w:ind w:firstLine="610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4.负责制定食品、药品、医疗器械、化妆品监督管理的稽查制度并组织实施,组织查处违法行为；建立问题产品召回和处置制度并监督实施。</w:t>
      </w:r>
    </w:p>
    <w:p>
      <w:pPr>
        <w:spacing w:line="600" w:lineRule="exact"/>
        <w:ind w:firstLine="610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5.负责涉案食品安全有关项目的检验。</w:t>
      </w:r>
    </w:p>
    <w:p>
      <w:pPr>
        <w:spacing w:line="600" w:lineRule="exact"/>
        <w:ind w:firstLine="610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6.负责本辖区的药品检验，承担上级食品药品检验所下达的计划抽验、监督抽验、强制性抽验任务。</w:t>
      </w:r>
    </w:p>
    <w:p>
      <w:pPr>
        <w:spacing w:line="600" w:lineRule="exact"/>
        <w:ind w:firstLine="610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7.开展药品检验、药品质量等有关方面的科研工作。</w:t>
      </w:r>
    </w:p>
    <w:p>
      <w:pPr>
        <w:spacing w:line="600" w:lineRule="exact"/>
        <w:ind w:firstLine="610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8.指导本辖区内药品生产、经营、使用单位质量检验机构业务技术工作，协助解决技术疑难问题，培训有关的技术管理人员。</w:t>
      </w:r>
    </w:p>
    <w:p>
      <w:pPr>
        <w:spacing w:line="600" w:lineRule="exact"/>
        <w:ind w:firstLine="610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9.综合上报和反馈药品质量情报信息。</w:t>
      </w:r>
    </w:p>
    <w:p>
      <w:pPr>
        <w:spacing w:line="600" w:lineRule="exact"/>
        <w:ind w:firstLine="610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10.承办食品药品监督管理局交办的有关事项；指导下级食品药品检验所开展工作。</w:t>
      </w:r>
    </w:p>
    <w:p>
      <w:pPr>
        <w:spacing w:line="600" w:lineRule="exact"/>
        <w:ind w:firstLine="612" w:firstLineChars="196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 二、焦作市食品药品监督管理局预算单位构成</w:t>
      </w:r>
    </w:p>
    <w:p>
      <w:pPr>
        <w:snapToGrid w:val="0"/>
        <w:spacing w:line="600" w:lineRule="exact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焦作市食品药品监督管理局内设14个职能科室，具体为：办公室（新闻室）、食品生产监管科、食品流通监管科、餐饮食品监管科、药品化妆品生产监管科、药品化妆品流通监管科、医疗器械监管科、科技装备与标准科、人事科（离退休干部科）、规划财务科、行政事项服务科（政策法规科）、监察室、机关党委、食品药品稽查支队，1个归口预算管理单位。</w:t>
      </w:r>
    </w:p>
    <w:p>
      <w:pPr>
        <w:snapToGrid w:val="0"/>
        <w:spacing w:line="600" w:lineRule="exact"/>
        <w:ind w:firstLine="622" w:firstLineChars="200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焦作市食品药品检验所内设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三个职能科室（办公室、业务室、质保办）和四个检验科室（中药室、化学室、药理室、食品室）及</w:t>
      </w:r>
      <w:r>
        <w:rPr>
          <w:rFonts w:hint="eastAsia" w:ascii="仿宋" w:hAnsi="仿宋" w:eastAsia="仿宋" w:cs="仿宋"/>
          <w:sz w:val="32"/>
          <w:szCs w:val="32"/>
        </w:rPr>
        <w:t>食品药品不良反应监测评价中心。</w:t>
      </w:r>
      <w:r>
        <w:rPr>
          <w:rFonts w:hint="eastAsia" w:ascii="仿宋" w:hAnsi="仿宋" w:eastAsia="仿宋" w:cs="仿宋_GB2312"/>
          <w:bCs/>
          <w:sz w:val="32"/>
          <w:szCs w:val="32"/>
        </w:rPr>
        <w:t>1个归口预算管理单位。</w:t>
      </w:r>
    </w:p>
    <w:p>
      <w:pPr>
        <w:snapToGrid w:val="0"/>
        <w:spacing w:line="600" w:lineRule="exact"/>
        <w:ind w:firstLine="622" w:firstLineChars="200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本预算为包含本级及所属二级机构在内的汇总预算。</w:t>
      </w:r>
      <w:bookmarkStart w:id="0" w:name="_GoBack"/>
      <w:bookmarkEnd w:id="0"/>
    </w:p>
    <w:p>
      <w:pPr>
        <w:kinsoku w:val="0"/>
        <w:overflowPunct w:val="0"/>
        <w:adjustRightInd w:val="0"/>
        <w:snapToGrid w:val="0"/>
        <w:spacing w:line="360" w:lineRule="auto"/>
        <w:ind w:right="3569" w:firstLine="622" w:firstLineChars="200"/>
        <w:jc w:val="left"/>
        <w:outlineLvl w:val="0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仿宋_GB2312"/>
          <w:b/>
          <w:bCs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sz w:val="44"/>
          <w:szCs w:val="44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仿宋_GB2312"/>
          <w:b/>
          <w:bCs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sz w:val="44"/>
          <w:szCs w:val="44"/>
        </w:rPr>
        <w:t>焦作市食品药品监督管理局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仿宋_GB2312"/>
          <w:b/>
          <w:bCs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sz w:val="44"/>
          <w:szCs w:val="44"/>
        </w:rPr>
        <w:t>2019年度部门预算情况说明(汇总)</w:t>
      </w:r>
    </w:p>
    <w:p>
      <w:pPr>
        <w:adjustRightInd w:val="0"/>
        <w:snapToGrid w:val="0"/>
        <w:spacing w:line="360" w:lineRule="auto"/>
        <w:ind w:firstLine="622" w:firstLineChars="200"/>
        <w:outlineLvl w:val="0"/>
        <w:rPr>
          <w:rFonts w:ascii="仿宋" w:hAnsi="仿宋" w:eastAsia="仿宋" w:cs="仿宋_GB2312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5" w:firstLineChars="200"/>
        <w:outlineLvl w:val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焦作市食品药品监督管理局2019年收入2217.91万元，支出总计2217.91万元，与2018年相比，收、支总计各增加9.64万元，增长0.44%。主要原因：</w:t>
      </w:r>
      <w:r>
        <w:rPr>
          <w:rFonts w:hint="eastAsia" w:ascii="仿宋_GB2312" w:hAnsi="仿宋_GB2312" w:eastAsia="仿宋_GB2312" w:cs="仿宋_GB2312"/>
          <w:sz w:val="32"/>
          <w:szCs w:val="32"/>
        </w:rPr>
        <w:t>随工资增长上调了职工各项社会保障及住房公积金缴费基数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。 </w:t>
      </w:r>
    </w:p>
    <w:p>
      <w:pPr>
        <w:adjustRightInd w:val="0"/>
        <w:snapToGrid w:val="0"/>
        <w:spacing w:line="360" w:lineRule="auto"/>
        <w:ind w:firstLine="625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焦作市食品药品监督管理局2019年收入合计2217.91万元，其中：一般公共预算收入2217.91万元; 政府性基金预算收入0万元；国有资本经营预算收入0万元；其他收入0万元。</w:t>
      </w:r>
    </w:p>
    <w:p>
      <w:pPr>
        <w:spacing w:line="560" w:lineRule="exact"/>
        <w:ind w:firstLine="625" w:firstLineChars="200"/>
        <w:outlineLvl w:val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三、支出预算总体情况说明</w:t>
      </w:r>
    </w:p>
    <w:p>
      <w:pPr>
        <w:spacing w:line="560" w:lineRule="exact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 xml:space="preserve">焦作市食品药品监督管理局2019年支出合计2217.91万元，其中：基本支出1689.81万元，占76.19%；项目支出528.1万元，占23.81%。 </w:t>
      </w:r>
    </w:p>
    <w:p>
      <w:pPr>
        <w:spacing w:line="560" w:lineRule="exact"/>
        <w:ind w:firstLine="625" w:firstLineChars="200"/>
        <w:outlineLvl w:val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22" w:firstLineChars="200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焦作市食品药品监督管理局2019年一般公共预算收支预算2217.91万元。政府性基金收支预算0万元，与 2018年相比，一般公共预算收支预算增加9.64万元，增长0.44%，主要原因：</w:t>
      </w:r>
      <w:r>
        <w:rPr>
          <w:rFonts w:hint="eastAsia" w:ascii="仿宋_GB2312" w:hAnsi="仿宋_GB2312" w:eastAsia="仿宋_GB2312" w:cs="仿宋_GB2312"/>
          <w:sz w:val="32"/>
          <w:szCs w:val="32"/>
        </w:rPr>
        <w:t>随工资增长上调了职工各项社会保障及住房公积金缴费基数</w:t>
      </w:r>
      <w:r>
        <w:rPr>
          <w:rFonts w:hint="eastAsia" w:ascii="仿宋" w:hAnsi="仿宋" w:eastAsia="仿宋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政府性基金收支增加0</w:t>
      </w:r>
      <w:r>
        <w:rPr>
          <w:rFonts w:hint="eastAsia" w:ascii="Arial" w:hAnsi="Arial" w:eastAsia="仿宋_GB2312" w:cs="Arial"/>
          <w:sz w:val="32"/>
          <w:szCs w:val="32"/>
        </w:rPr>
        <w:t>万元，增长0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Arial" w:hAnsi="Arial" w:eastAsia="仿宋_GB2312" w:cs="Arial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主要原因：</w:t>
      </w:r>
      <w:r>
        <w:rPr>
          <w:rFonts w:hint="eastAsia" w:ascii="Arial" w:hAnsi="Arial" w:eastAsia="仿宋_GB2312" w:cs="Arial"/>
          <w:sz w:val="32"/>
          <w:szCs w:val="32"/>
        </w:rPr>
        <w:t>无政府性基金收支。</w:t>
      </w:r>
    </w:p>
    <w:p>
      <w:pPr>
        <w:spacing w:line="560" w:lineRule="exact"/>
        <w:ind w:firstLine="625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五、一般公共预算支出预算情况说明</w:t>
      </w:r>
    </w:p>
    <w:p>
      <w:pPr>
        <w:widowControl/>
        <w:ind w:firstLine="622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焦作市食品药品监督管理局2019年一般公共预算支出年初预算为2217.91万元。主要用于以下方面：一般公共服务支出1795.02万元，占80.93%；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国防支出0万元，占0%；</w:t>
      </w:r>
      <w:r>
        <w:rPr>
          <w:rFonts w:hint="eastAsia" w:ascii="仿宋" w:hAnsi="仿宋" w:eastAsia="仿宋" w:cs="仿宋_GB2312"/>
          <w:bCs/>
          <w:sz w:val="32"/>
          <w:szCs w:val="32"/>
        </w:rPr>
        <w:t>教育支出5.99万元，占0.27%；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科学技术支出0万元，占0%；文化体育与传媒支出0万元，占0%；</w:t>
      </w:r>
      <w:r>
        <w:rPr>
          <w:rFonts w:hint="eastAsia" w:ascii="仿宋" w:hAnsi="仿宋" w:eastAsia="仿宋" w:cs="仿宋_GB2312"/>
          <w:bCs/>
          <w:sz w:val="32"/>
          <w:szCs w:val="32"/>
        </w:rPr>
        <w:t>社会保障和就业支出234.37万元，占10.57%；卫生健康支出94.91万元,占4.28%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；农林水支出0万元，占0%；</w:t>
      </w:r>
      <w:r>
        <w:rPr>
          <w:rFonts w:hint="eastAsia" w:ascii="仿宋" w:hAnsi="仿宋" w:eastAsia="仿宋" w:cs="仿宋_GB2312"/>
          <w:bCs/>
          <w:sz w:val="32"/>
          <w:szCs w:val="32"/>
        </w:rPr>
        <w:t>住房保障支出87.62万元，占3.95%。</w:t>
      </w:r>
    </w:p>
    <w:p>
      <w:pPr>
        <w:spacing w:line="560" w:lineRule="exact"/>
        <w:ind w:firstLine="625" w:firstLineChars="200"/>
        <w:outlineLvl w:val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六、一般公共预算基本支出预算情况说明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焦作市食品药品监督管理局2019年一般公共预算基本支出1689.81万元，其中：人员经费1529.97万元，主要包括：基本工资、津贴补贴、奖金、机关事业单位基本养老保险缴费、职业年金缴费、医疗保险缴费、其他社会保障缴费、住房公积金、其他工资福利支出、离休费、退休费、其他对个人和家庭的补助支出；公用经费159.84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福利费、公务用车运行维护费、其他交通费用、税金及附加费用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其他商品和服务支出、债务利息、办公设备购置、专用设备购置、基础设施建设、大型修缮、信息网络及软件购置更新、公务用车购置、其他资本性支出和其他支出。</w:t>
      </w:r>
    </w:p>
    <w:p>
      <w:pPr>
        <w:spacing w:line="560" w:lineRule="exact"/>
        <w:ind w:firstLine="625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七、政府性基金预算支出预算情况说明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我单位2019年没有使用政府性基金预算拨款安排的支出。</w:t>
      </w:r>
    </w:p>
    <w:p>
      <w:pPr>
        <w:spacing w:line="560" w:lineRule="exact"/>
        <w:ind w:firstLine="625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八、国有资本经营预算支出预算情况说明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我单位2019年没有使用政府国有资本经营预算拨款安排的支出。</w:t>
      </w:r>
    </w:p>
    <w:p>
      <w:pPr>
        <w:spacing w:line="560" w:lineRule="exact"/>
        <w:ind w:firstLine="625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九、“三公”经费支出预算情况说明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焦作市食品药品监督管理局2019年“三公”经费预算为34.13万元。 比 2018年预算数减少11万元，降低24.37%。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(一)因公出国（境）费 0万元。预算数比2018年减少0万元，下降0%，主要原因：今年没有因公出国（境）安排的支出。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公务用车购置及运行费31万元。其中公务车辆购置费0万元，比2018年增加0万元，较上年下降0%，主要原因：无公务用车购置计划；公务用车运行维护费31万元，主要用于车辆燃油、维修、过路费及购置车辆保险等支出,比2018年减少11万元，较上年降低26.2%，主要原因：厉行节约,压减支出。</w:t>
      </w:r>
    </w:p>
    <w:p>
      <w:pPr>
        <w:widowControl/>
        <w:ind w:firstLine="622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（三）公务接待费3.13万元，主要用于日常公务接待支出，比2018年预算数减少0万元，下降0%，主要原因严格执行中央八项规定,控制公务接待费用。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5" w:firstLineChars="200"/>
        <w:outlineLvl w:val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5" w:firstLineChars="200"/>
        <w:outlineLvl w:val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焦作市食品药品监督管理局2019年机关运行经费支出预算105.29万元，主要保障机关机构正常运转及正常履职需要的办公费、水电费、物业费、维修费、差旅费等支出，比2018年增加71.38万元，增长40.4%，主要原因：一是机关运行经费不再包含其他交通费用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积极贯彻落实厉行节约的要求，二是从严控制单位内部管理。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5" w:firstLineChars="200"/>
        <w:outlineLvl w:val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ascii="仿宋" w:hAnsi="仿宋" w:eastAsia="仿宋" w:cs="仿宋_GB2312"/>
          <w:bCs/>
          <w:sz w:val="32"/>
          <w:szCs w:val="32"/>
        </w:rPr>
        <w:t>2018</w:t>
      </w:r>
      <w:r>
        <w:rPr>
          <w:rFonts w:hint="eastAsia" w:ascii="仿宋" w:hAnsi="仿宋" w:eastAsia="仿宋" w:cs="仿宋_GB2312"/>
          <w:bCs/>
          <w:sz w:val="32"/>
          <w:szCs w:val="32"/>
        </w:rPr>
        <w:t>年政府采购预算安排0万元，其中：政府采购货物预算0万元、政府采购工程预算0万元、政府采购服务预算0万元。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5" w:firstLineChars="200"/>
        <w:outlineLvl w:val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（三）关于预算绩效管理工作开展情况说明</w:t>
      </w:r>
    </w:p>
    <w:p>
      <w:pPr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2018年,我部门对2个项目进行了预算绩效评价，涉及资金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2208.27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万元。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，我部门纳入预算绩效管理的支出总额为2217.91万元，其中人员经费支出1529.97万元，公用经费支出159.84万元，支出项目共3个，支出总额502.3万元，其中预算支出100万元及100万元以上项目1个，支出总额400万元。</w:t>
      </w:r>
    </w:p>
    <w:p>
      <w:pPr>
        <w:ind w:left="402" w:left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（四）国有资产占用情况</w:t>
      </w:r>
    </w:p>
    <w:p>
      <w:pPr>
        <w:shd w:val="solid" w:color="FFFFFF" w:fill="auto"/>
        <w:autoSpaceDN w:val="0"/>
        <w:spacing w:line="420" w:lineRule="atLeast"/>
        <w:ind w:firstLine="622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2018年期末，焦作市食品药品监督管理局固定资产总额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1930.06</w:t>
      </w:r>
      <w:r>
        <w:rPr>
          <w:rFonts w:hint="eastAsia" w:ascii="仿宋" w:hAnsi="仿宋" w:eastAsia="仿宋" w:cs="仿宋_GB2312"/>
          <w:bCs/>
          <w:sz w:val="32"/>
          <w:szCs w:val="32"/>
        </w:rPr>
        <w:t>万元，其中，房屋建筑物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374.88万元</w:t>
      </w:r>
      <w:r>
        <w:rPr>
          <w:rFonts w:hint="eastAsia" w:ascii="仿宋" w:hAnsi="仿宋" w:eastAsia="仿宋" w:cs="仿宋_GB2312"/>
          <w:bCs/>
          <w:sz w:val="32"/>
          <w:szCs w:val="32"/>
        </w:rPr>
        <w:t>，车辆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154.81万元</w:t>
      </w:r>
      <w:r>
        <w:rPr>
          <w:rFonts w:hint="eastAsia" w:ascii="仿宋" w:hAnsi="仿宋" w:eastAsia="仿宋" w:cs="仿宋_GB2312"/>
          <w:bCs/>
          <w:sz w:val="32"/>
          <w:szCs w:val="32"/>
        </w:rPr>
        <w:t>。共有车辆9辆，其中：一般公务用车3辆，执法执勤车4辆，特种车辆2辆；单价50万元以上通用设备1台（套），单位价值100万元以上专用设备0台（套）。</w:t>
      </w:r>
    </w:p>
    <w:p>
      <w:pPr>
        <w:widowControl/>
        <w:ind w:firstLine="625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（五）关于预算部门构成说明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2018年我单位按照市财政预算公开要求，将所属预算单位全部纳入预算公开范围。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一、财政拨款收入：是指市级财政当年拨付的资金。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七、机关运行经费：是指为保障行政机构正常运转及正常履职需要的办公费、水电费、日常维修、物业费、维修费、差旅费、公务用车运行维护费以及其他费用等支出。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八、市场监督管理专项：反映从事市场监督管理专项业务方面的支出。</w:t>
      </w:r>
    </w:p>
    <w:p>
      <w:pPr>
        <w:pStyle w:val="2"/>
        <w:kinsoku w:val="0"/>
        <w:overflowPunct w:val="0"/>
        <w:snapToGrid w:val="0"/>
        <w:spacing w:line="600" w:lineRule="exact"/>
        <w:ind w:left="0" w:firstLine="622" w:firstLineChars="200"/>
        <w:jc w:val="both"/>
        <w:rPr>
          <w:rFonts w:ascii="仿宋" w:hAnsi="仿宋" w:eastAsia="仿宋" w:cs="仿宋"/>
          <w:spacing w:val="4"/>
          <w:sz w:val="32"/>
        </w:rPr>
      </w:pPr>
      <w:r>
        <w:rPr>
          <w:rFonts w:hint="eastAsia" w:ascii="仿宋" w:hAnsi="仿宋" w:eastAsia="仿宋" w:cs="仿宋_GB2312"/>
          <w:bCs/>
          <w:sz w:val="32"/>
        </w:rPr>
        <w:t>九、</w:t>
      </w:r>
      <w:r>
        <w:rPr>
          <w:rFonts w:hint="eastAsia" w:ascii="仿宋" w:hAnsi="仿宋" w:eastAsia="仿宋" w:cs="仿宋"/>
          <w:sz w:val="32"/>
        </w:rPr>
        <w:t>药品事务</w:t>
      </w:r>
      <w:r>
        <w:rPr>
          <w:rFonts w:hint="eastAsia" w:ascii="仿宋" w:hAnsi="仿宋" w:eastAsia="仿宋" w:cs="仿宋"/>
          <w:spacing w:val="4"/>
          <w:sz w:val="32"/>
        </w:rPr>
        <w:t>：反映用于药品（含中药）监督管理方面的支出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附件：焦作市食品药品监督管理局2019年度部门预算表(汇总)</w:t>
      </w:r>
    </w:p>
    <w:p>
      <w:pPr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2" w:firstLineChars="200"/>
        <w:jc w:val="righ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2019年3月12日</w:t>
      </w:r>
    </w:p>
    <w:p>
      <w:pPr>
        <w:adjustRightInd w:val="0"/>
        <w:snapToGrid w:val="0"/>
        <w:spacing w:line="360" w:lineRule="auto"/>
        <w:ind w:firstLine="622" w:firstLineChars="200"/>
        <w:rPr>
          <w:rFonts w:ascii="仿宋" w:hAnsi="仿宋" w:eastAsia="仿宋" w:cs="仿宋_GB2312"/>
          <w:bCs/>
          <w:sz w:val="32"/>
          <w:szCs w:val="32"/>
        </w:rPr>
      </w:pPr>
    </w:p>
    <w:p/>
    <w:sectPr>
      <w:pgSz w:w="11906" w:h="16838"/>
      <w:pgMar w:top="2154" w:right="1474" w:bottom="1757" w:left="1587" w:header="851" w:footer="992" w:gutter="0"/>
      <w:cols w:space="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3597823">
    <w:nsid w:val="0594307F"/>
    <w:multiLevelType w:val="multilevel"/>
    <w:tmpl w:val="0594307F"/>
    <w:lvl w:ilvl="0" w:tentative="1">
      <w:start w:val="1"/>
      <w:numFmt w:val="japaneseCounting"/>
      <w:lvlText w:val="%1、"/>
      <w:lvlJc w:val="left"/>
      <w:pPr>
        <w:ind w:left="1332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52" w:hanging="420"/>
      </w:pPr>
    </w:lvl>
    <w:lvl w:ilvl="2" w:tentative="1">
      <w:start w:val="1"/>
      <w:numFmt w:val="lowerRoman"/>
      <w:lvlText w:val="%3."/>
      <w:lvlJc w:val="right"/>
      <w:pPr>
        <w:ind w:left="1872" w:hanging="420"/>
      </w:pPr>
    </w:lvl>
    <w:lvl w:ilvl="3" w:tentative="1">
      <w:start w:val="1"/>
      <w:numFmt w:val="decimal"/>
      <w:lvlText w:val="%4."/>
      <w:lvlJc w:val="left"/>
      <w:pPr>
        <w:ind w:left="2292" w:hanging="420"/>
      </w:pPr>
    </w:lvl>
    <w:lvl w:ilvl="4" w:tentative="1">
      <w:start w:val="1"/>
      <w:numFmt w:val="lowerLetter"/>
      <w:lvlText w:val="%5)"/>
      <w:lvlJc w:val="left"/>
      <w:pPr>
        <w:ind w:left="2712" w:hanging="420"/>
      </w:pPr>
    </w:lvl>
    <w:lvl w:ilvl="5" w:tentative="1">
      <w:start w:val="1"/>
      <w:numFmt w:val="lowerRoman"/>
      <w:lvlText w:val="%6."/>
      <w:lvlJc w:val="right"/>
      <w:pPr>
        <w:ind w:left="3132" w:hanging="420"/>
      </w:pPr>
    </w:lvl>
    <w:lvl w:ilvl="6" w:tentative="1">
      <w:start w:val="1"/>
      <w:numFmt w:val="decimal"/>
      <w:lvlText w:val="%7."/>
      <w:lvlJc w:val="left"/>
      <w:pPr>
        <w:ind w:left="3552" w:hanging="420"/>
      </w:pPr>
    </w:lvl>
    <w:lvl w:ilvl="7" w:tentative="1">
      <w:start w:val="1"/>
      <w:numFmt w:val="lowerLetter"/>
      <w:lvlText w:val="%8)"/>
      <w:lvlJc w:val="left"/>
      <w:pPr>
        <w:ind w:left="3972" w:hanging="420"/>
      </w:pPr>
    </w:lvl>
    <w:lvl w:ilvl="8" w:tentative="1">
      <w:start w:val="1"/>
      <w:numFmt w:val="lowerRoman"/>
      <w:lvlText w:val="%9."/>
      <w:lvlJc w:val="right"/>
      <w:pPr>
        <w:ind w:left="4392" w:hanging="420"/>
      </w:pPr>
    </w:lvl>
  </w:abstractNum>
  <w:num w:numId="1">
    <w:abstractNumId w:val="935978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Body Text"/>
    <w:basedOn w:val="1"/>
    <w:link w:val="12"/>
    <w:qFormat/>
    <w:uiPriority w:val="1"/>
    <w:pPr>
      <w:autoSpaceDE w:val="0"/>
      <w:autoSpaceDN w:val="0"/>
      <w:adjustRightInd w:val="0"/>
      <w:ind w:left="761"/>
      <w:jc w:val="left"/>
    </w:pPr>
    <w:rPr>
      <w:rFonts w:ascii="仿宋_GB2312"/>
      <w:kern w:val="0"/>
      <w:szCs w:val="32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Char Char"/>
    <w:basedOn w:val="7"/>
    <w:link w:val="4"/>
    <w:uiPriority w:val="99"/>
    <w:rPr>
      <w:rFonts w:ascii="Calibri" w:hAnsi="Calibri"/>
      <w:sz w:val="18"/>
      <w:szCs w:val="18"/>
    </w:rPr>
  </w:style>
  <w:style w:type="character" w:customStyle="1" w:styleId="10">
    <w:name w:val="页眉 Char Char"/>
    <w:basedOn w:val="7"/>
    <w:link w:val="5"/>
    <w:uiPriority w:val="99"/>
    <w:rPr>
      <w:rFonts w:ascii="Calibri" w:hAnsi="Calibri"/>
      <w:sz w:val="18"/>
      <w:szCs w:val="18"/>
    </w:rPr>
  </w:style>
  <w:style w:type="character" w:customStyle="1" w:styleId="11">
    <w:name w:val="批注框文本 Char Char"/>
    <w:basedOn w:val="7"/>
    <w:link w:val="3"/>
    <w:uiPriority w:val="99"/>
    <w:rPr>
      <w:rFonts w:ascii="Calibri" w:hAnsi="Calibri"/>
      <w:sz w:val="18"/>
      <w:szCs w:val="18"/>
    </w:rPr>
  </w:style>
  <w:style w:type="character" w:customStyle="1" w:styleId="12">
    <w:name w:val="正文文本 Char Char"/>
    <w:basedOn w:val="7"/>
    <w:link w:val="2"/>
    <w:uiPriority w:val="1"/>
    <w:rPr>
      <w:rFonts w:ascii="仿宋_GB2312" w:hAnsi="Calibri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612</Words>
  <Characters>3490</Characters>
  <Lines>29</Lines>
  <Paragraphs>8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2019-03-12T07:39:00Z</dcterms:created>
  <dc:creator>Lenovo</dc:creator>
  <cp:lastModifiedBy>Lenovo</cp:lastModifiedBy>
  <cp:lastPrinted>2018-10-16T06:43:00Z</cp:lastPrinted>
  <dcterms:modified xsi:type="dcterms:W3CDTF">2019-05-09T00:24:43Z</dcterms:modified>
  <dc:title>焦作市食品药品监督管理局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