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焦作市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药品零售企业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风险分级分值表</w:t>
      </w:r>
    </w:p>
    <w:bookmarkEnd w:id="0"/>
    <w:tbl>
      <w:tblPr>
        <w:tblStyle w:val="8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580"/>
        <w:gridCol w:w="5236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风险分级（一级指标）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风险分级（二级指标）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扣减分值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违法违规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处罚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8分）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被给予从轻或者减轻处罚的（含警告）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被给予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两次及以上或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从重处罚的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经营质量管理（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发现违反GSP规定一般缺陷项1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发现违反GSP规定一般缺陷项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投诉举报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经核实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药学服务被投诉的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经核实，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药品质量被投诉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举报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和媒体曝光的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不良反应报告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收集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药品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不良反应信息的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收集不良反应信息但未及时上报的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互联网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销售药品（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违规发布互联网药品信息的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违规从事互联网药品交易的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质量信息收集（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未收集药品质量公告信息的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未对收集的药品质量公告信息进行分析处理的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规范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发布（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发现存在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违法药品广告宣传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行为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销售违法广告药品的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药品购进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渠道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未执行统一渠道购进或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供货方档案不规范、不完整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  <w:t>信息化追溯（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未能入驻追溯平台、重点品种未扫码上传的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其他需扫码药品未按要求进行扫码上传的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药学服务能力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未制订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药学服务规范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未能提供安全用药指导服务的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常态化疫情防控（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未对内部人员及场所采取有效防控的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未告知和引导顾客去发热门诊就医的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未执行一米线、健康码、询问行程等要求的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从业人员动态管理（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执业药师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未完成年度培训教育规定的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管理人员变更未履行变更手续的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驻店药师无故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不在岗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销售处方药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辖区监督管理部门认为需要增加的其它指标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1AD23776"/>
    <w:rsid w:val="1AD2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 2"/>
    <w:basedOn w:val="4"/>
    <w:next w:val="4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index 7"/>
    <w:next w:val="1"/>
    <w:qFormat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2023-01-12T09:24:00Z</dcterms:created>
  <dc:creator>Administrator</dc:creator>
  <cp:lastModifiedBy>Administrator</cp:lastModifiedBy>
  <dcterms:modified xsi:type="dcterms:W3CDTF">2023-01-12T09:24:33Z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DD086287E0584EE6A0A31F109572B078</vt:lpwstr>
  </property>
</Properties>
</file>