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37" w:rsidRDefault="00E06413">
      <w:pPr>
        <w:spacing w:line="574"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rsidR="00C07037" w:rsidRDefault="00663C6D" w:rsidP="00201CC4">
      <w:pPr>
        <w:spacing w:afterLines="50" w:line="574"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2022年市政府工作报告涉及市场监管局工作</w:t>
      </w:r>
      <w:r w:rsidR="00201CC4">
        <w:rPr>
          <w:rFonts w:ascii="方正小标宋简体" w:eastAsia="方正小标宋简体" w:hAnsi="方正小标宋简体" w:cs="方正小标宋简体" w:hint="eastAsia"/>
          <w:color w:val="000000"/>
          <w:kern w:val="0"/>
          <w:sz w:val="44"/>
          <w:szCs w:val="44"/>
        </w:rPr>
        <w:t>完成情况</w:t>
      </w:r>
    </w:p>
    <w:p w:rsidR="00DF72B9" w:rsidRPr="00DF72B9" w:rsidRDefault="00DF72B9" w:rsidP="00201CC4">
      <w:pPr>
        <w:spacing w:afterLines="50" w:line="560" w:lineRule="exact"/>
        <w:ind w:firstLineChars="200" w:firstLine="640"/>
        <w:jc w:val="left"/>
        <w:rPr>
          <w:rFonts w:ascii="方正小标宋简体" w:eastAsia="方正小标宋简体" w:hAnsi="方正小标宋简体" w:cs="方正小标宋简体"/>
          <w:sz w:val="32"/>
          <w:szCs w:val="32"/>
        </w:rPr>
      </w:pPr>
      <w:r w:rsidRPr="00860A63">
        <w:rPr>
          <w:rFonts w:ascii="方正小标宋简体" w:eastAsia="方正小标宋简体" w:hAnsi="方正小标宋简体" w:cs="方正小标宋简体" w:hint="eastAsia"/>
          <w:sz w:val="32"/>
          <w:szCs w:val="32"/>
        </w:rPr>
        <w:t>13.</w:t>
      </w:r>
      <w:r w:rsidRPr="00DF72B9">
        <w:rPr>
          <w:rFonts w:ascii="方正小标宋简体" w:eastAsia="方正小标宋简体" w:hAnsi="方正小标宋简体" w:cs="方正小标宋简体" w:hint="eastAsia"/>
          <w:sz w:val="32"/>
          <w:szCs w:val="32"/>
        </w:rPr>
        <w:t>加快商事制度改革，推进证照分离改革全覆盖。</w:t>
      </w:r>
    </w:p>
    <w:p w:rsidR="00DF72B9" w:rsidRPr="00C57E14" w:rsidRDefault="00C57E14" w:rsidP="00201CC4">
      <w:pPr>
        <w:spacing w:afterLines="50"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完成情况</w:t>
      </w:r>
      <w:r w:rsidR="00DF72B9">
        <w:rPr>
          <w:rFonts w:ascii="仿宋_GB2312" w:eastAsia="仿宋_GB2312" w:hAnsi="仿宋_GB2312" w:cs="仿宋_GB2312" w:hint="eastAsia"/>
          <w:color w:val="000000" w:themeColor="text1"/>
          <w:sz w:val="32"/>
          <w:szCs w:val="32"/>
        </w:rPr>
        <w:t>：</w:t>
      </w:r>
      <w:r w:rsidRPr="00C57E14">
        <w:rPr>
          <w:rFonts w:ascii="仿宋_GB2312" w:eastAsia="仿宋_GB2312" w:hAnsi="仿宋_GB2312" w:cs="仿宋_GB2312" w:hint="eastAsia"/>
          <w:color w:val="000000" w:themeColor="text1"/>
          <w:sz w:val="32"/>
          <w:szCs w:val="32"/>
        </w:rPr>
        <w:t>对526项涉企经营许可事项实施清单管理。截至12月底，我市涉及直接取消审批共10项已落实10项、审批改为备案共8项已落实7项（诊所执业登记未落实）、实行告知承诺共13项已落实13项，优化审批服务共100项已落实100项。涉及市场监管局17项涉企经营许可事项直接取消审批2项，审批改为备案1项，实行告知承诺3项，优化审批服务11项，已经基本实现“证照分离”。</w:t>
      </w:r>
    </w:p>
    <w:p w:rsidR="00DF72B9" w:rsidRDefault="00DF72B9">
      <w:pPr>
        <w:widowControl/>
        <w:jc w:val="left"/>
        <w:rPr>
          <w:rFonts w:ascii="仿宋_GB2312" w:eastAsia="仿宋_GB2312" w:hAnsi="方正小标宋简体" w:cs="方正小标宋简体"/>
          <w:sz w:val="32"/>
          <w:szCs w:val="32"/>
        </w:rPr>
      </w:pPr>
      <w:r>
        <w:rPr>
          <w:rFonts w:ascii="仿宋_GB2312" w:eastAsia="仿宋_GB2312" w:hAnsi="方正小标宋简体" w:cs="方正小标宋简体"/>
          <w:sz w:val="32"/>
          <w:szCs w:val="32"/>
        </w:rPr>
        <w:br w:type="page"/>
      </w:r>
    </w:p>
    <w:p w:rsidR="00DF72B9" w:rsidRDefault="00DF72B9" w:rsidP="00201CC4">
      <w:pPr>
        <w:spacing w:afterLines="50" w:line="574" w:lineRule="exact"/>
        <w:jc w:val="left"/>
        <w:rPr>
          <w:rFonts w:ascii="方正小标宋简体" w:eastAsia="方正小标宋简体" w:hAnsi="方正小标宋简体" w:cs="方正小标宋简体"/>
          <w:sz w:val="44"/>
          <w:szCs w:val="44"/>
        </w:rPr>
      </w:pPr>
    </w:p>
    <w:tbl>
      <w:tblPr>
        <w:tblW w:w="5000" w:type="pct"/>
        <w:jc w:val="center"/>
        <w:tblLayout w:type="fixed"/>
        <w:tblCellMar>
          <w:left w:w="28" w:type="dxa"/>
          <w:right w:w="28" w:type="dxa"/>
        </w:tblCellMar>
        <w:tblLook w:val="04A0"/>
      </w:tblPr>
      <w:tblGrid>
        <w:gridCol w:w="716"/>
        <w:gridCol w:w="4280"/>
        <w:gridCol w:w="2861"/>
        <w:gridCol w:w="5865"/>
        <w:gridCol w:w="904"/>
      </w:tblGrid>
      <w:tr w:rsidR="00C07037" w:rsidTr="00867477">
        <w:trPr>
          <w:trHeight w:val="618"/>
          <w:tblHeader/>
          <w:jc w:val="center"/>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7037" w:rsidRDefault="00E06413">
            <w:pPr>
              <w:widowControl/>
              <w:spacing w:line="280" w:lineRule="exact"/>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037" w:rsidRDefault="00E06413">
            <w:pPr>
              <w:widowControl/>
              <w:spacing w:line="280" w:lineRule="exact"/>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政府工作报告任务</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7037" w:rsidRDefault="00E06413">
            <w:pPr>
              <w:widowControl/>
              <w:spacing w:line="280" w:lineRule="exact"/>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市责任单位</w:t>
            </w:r>
          </w:p>
        </w:tc>
        <w:tc>
          <w:tcPr>
            <w:tcW w:w="2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7037" w:rsidRDefault="00E06413">
            <w:pPr>
              <w:widowControl/>
              <w:spacing w:line="280" w:lineRule="exact"/>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进展情况</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7037" w:rsidRDefault="00E06413">
            <w:pPr>
              <w:widowControl/>
              <w:spacing w:line="280" w:lineRule="exact"/>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进度评价</w:t>
            </w:r>
          </w:p>
        </w:tc>
      </w:tr>
      <w:tr w:rsidR="00C07037">
        <w:trPr>
          <w:trHeight w:val="567"/>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037" w:rsidRDefault="00E06413">
            <w:pPr>
              <w:widowControl/>
              <w:spacing w:line="360" w:lineRule="exact"/>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一、坚定不移稳增长，巩固稳中向好态势</w:t>
            </w:r>
          </w:p>
        </w:tc>
      </w:tr>
      <w:tr w:rsidR="00C07037" w:rsidTr="00867477">
        <w:trPr>
          <w:trHeight w:val="3576"/>
          <w:jc w:val="center"/>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037" w:rsidRDefault="00E06413">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12</w:t>
            </w: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7037" w:rsidRDefault="00E06413">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建立先进制造业重点产业链链长和产业联盟盟长“双长制”，加强大企业集团培育，完善“个转企、小升规、规转股、股上市”分级培育机制，力争新增1家超100亿元龙头企业、2家超50亿元大企业，新入库450家规模以上企业，新登记市场主体5万户以上。</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7037" w:rsidRDefault="00E06413">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市工业和信息化局</w:t>
            </w:r>
            <w:r>
              <w:rPr>
                <w:rFonts w:ascii="仿宋_GB2312" w:eastAsia="仿宋_GB2312" w:hAnsi="宋体" w:cs="仿宋_GB2312" w:hint="eastAsia"/>
                <w:color w:val="000000"/>
                <w:kern w:val="0"/>
                <w:sz w:val="28"/>
                <w:szCs w:val="28"/>
              </w:rPr>
              <w:br/>
            </w:r>
            <w:r w:rsidRPr="00E06413">
              <w:rPr>
                <w:rFonts w:ascii="仿宋_GB2312" w:eastAsia="仿宋_GB2312" w:hAnsi="宋体" w:cs="仿宋_GB2312" w:hint="eastAsia"/>
                <w:color w:val="FF0000"/>
                <w:kern w:val="0"/>
                <w:sz w:val="28"/>
                <w:szCs w:val="28"/>
                <w:highlight w:val="yellow"/>
              </w:rPr>
              <w:t>市市场监督管理局</w:t>
            </w:r>
            <w:r w:rsidRPr="00E06413">
              <w:rPr>
                <w:rFonts w:ascii="仿宋_GB2312" w:eastAsia="仿宋_GB2312" w:hAnsi="宋体" w:cs="仿宋_GB2312" w:hint="eastAsia"/>
                <w:color w:val="FF0000"/>
                <w:kern w:val="0"/>
                <w:sz w:val="28"/>
                <w:szCs w:val="28"/>
              </w:rPr>
              <w:br/>
            </w:r>
            <w:r>
              <w:rPr>
                <w:rFonts w:ascii="仿宋_GB2312" w:eastAsia="仿宋_GB2312" w:hAnsi="宋体" w:cs="仿宋_GB2312" w:hint="eastAsia"/>
                <w:color w:val="000000"/>
                <w:kern w:val="0"/>
                <w:sz w:val="28"/>
                <w:szCs w:val="28"/>
              </w:rPr>
              <w:t>各县（市、区）政府</w:t>
            </w:r>
            <w:r>
              <w:rPr>
                <w:rFonts w:ascii="仿宋_GB2312" w:eastAsia="仿宋_GB2312" w:hAnsi="宋体" w:cs="仿宋_GB2312" w:hint="eastAsia"/>
                <w:color w:val="000000"/>
                <w:kern w:val="0"/>
                <w:sz w:val="28"/>
                <w:szCs w:val="28"/>
              </w:rPr>
              <w:br/>
              <w:t>示范区管委会</w:t>
            </w:r>
          </w:p>
        </w:tc>
        <w:tc>
          <w:tcPr>
            <w:tcW w:w="2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7037" w:rsidRDefault="003700D1" w:rsidP="002C24C5">
            <w:pPr>
              <w:widowControl/>
              <w:spacing w:line="360" w:lineRule="exact"/>
              <w:textAlignment w:val="center"/>
              <w:rPr>
                <w:rFonts w:ascii="仿宋_GB2312" w:eastAsia="仿宋_GB2312" w:hAnsi="宋体" w:cs="仿宋_GB2312"/>
                <w:color w:val="000000"/>
                <w:sz w:val="28"/>
                <w:szCs w:val="28"/>
              </w:rPr>
            </w:pPr>
            <w:r w:rsidRPr="00727C5D">
              <w:rPr>
                <w:rFonts w:ascii="仿宋_GB2312" w:hAnsi="宋体" w:cs="仿宋_GB2312" w:hint="eastAsia"/>
                <w:kern w:val="0"/>
                <w:szCs w:val="32"/>
              </w:rPr>
              <w:t>印发了《《焦作市人民政府办公室关于印发焦作市培育壮大市场主体实施的方案》（焦政办〔</w:t>
            </w:r>
            <w:r w:rsidRPr="00727C5D">
              <w:rPr>
                <w:rFonts w:ascii="仿宋_GB2312" w:hAnsi="宋体" w:cs="仿宋_GB2312" w:hint="eastAsia"/>
                <w:kern w:val="0"/>
                <w:szCs w:val="32"/>
              </w:rPr>
              <w:t>2022</w:t>
            </w:r>
            <w:r w:rsidRPr="00727C5D">
              <w:rPr>
                <w:rFonts w:ascii="仿宋_GB2312" w:hAnsi="宋体" w:cs="仿宋_GB2312" w:hint="eastAsia"/>
                <w:kern w:val="0"/>
                <w:szCs w:val="32"/>
              </w:rPr>
              <w:t>〕</w:t>
            </w:r>
            <w:r w:rsidRPr="00727C5D">
              <w:rPr>
                <w:rFonts w:ascii="仿宋_GB2312" w:hAnsi="宋体" w:cs="仿宋_GB2312" w:hint="eastAsia"/>
                <w:kern w:val="0"/>
                <w:szCs w:val="32"/>
              </w:rPr>
              <w:t>51</w:t>
            </w:r>
            <w:r w:rsidRPr="00727C5D">
              <w:rPr>
                <w:rFonts w:ascii="仿宋_GB2312" w:hAnsi="宋体" w:cs="仿宋_GB2312" w:hint="eastAsia"/>
                <w:kern w:val="0"/>
                <w:szCs w:val="32"/>
              </w:rPr>
              <w:t>号）等一揽子支持企业梯次发展的政策措施。</w:t>
            </w:r>
            <w:r w:rsidR="00E96A02" w:rsidRPr="00727C5D">
              <w:rPr>
                <w:rFonts w:ascii="仿宋_GB2312" w:hAnsi="宋体" w:cs="仿宋_GB2312" w:hint="eastAsia"/>
                <w:kern w:val="0"/>
                <w:szCs w:val="32"/>
              </w:rPr>
              <w:t>今已完成</w:t>
            </w:r>
            <w:r w:rsidR="002C24C5" w:rsidRPr="00727C5D">
              <w:rPr>
                <w:rFonts w:ascii="仿宋_GB2312" w:hAnsi="宋体" w:cs="仿宋_GB2312" w:hint="eastAsia"/>
                <w:kern w:val="0"/>
                <w:szCs w:val="32"/>
              </w:rPr>
              <w:t>282</w:t>
            </w:r>
            <w:r w:rsidR="00E96A02" w:rsidRPr="00727C5D">
              <w:rPr>
                <w:rFonts w:ascii="仿宋_GB2312" w:hAnsi="宋体" w:cs="仿宋_GB2312" w:hint="eastAsia"/>
                <w:kern w:val="0"/>
                <w:szCs w:val="32"/>
              </w:rPr>
              <w:t>户“个转企”的工作任务，已完成全年目标任务</w:t>
            </w:r>
            <w:r w:rsidR="00E96A02" w:rsidRPr="00727C5D">
              <w:rPr>
                <w:rFonts w:ascii="仿宋_GB2312" w:hAnsi="宋体" w:cs="仿宋_GB2312" w:hint="eastAsia"/>
                <w:kern w:val="0"/>
                <w:szCs w:val="32"/>
              </w:rPr>
              <w:t>)</w:t>
            </w:r>
            <w:r w:rsidRPr="00727C5D">
              <w:rPr>
                <w:rFonts w:ascii="仿宋_GB2312" w:hAnsi="宋体" w:cs="仿宋_GB2312" w:hint="eastAsia"/>
                <w:kern w:val="0"/>
                <w:szCs w:val="32"/>
              </w:rPr>
              <w:t>。全市共新设各类市场主体</w:t>
            </w:r>
            <w:r w:rsidR="002C24C5" w:rsidRPr="00727C5D">
              <w:rPr>
                <w:rFonts w:ascii="仿宋_GB2312" w:hAnsi="宋体" w:cs="仿宋_GB2312"/>
                <w:kern w:val="0"/>
                <w:szCs w:val="32"/>
              </w:rPr>
              <w:t>78017</w:t>
            </w:r>
            <w:r w:rsidRPr="00727C5D">
              <w:rPr>
                <w:rFonts w:ascii="仿宋_GB2312" w:hAnsi="宋体" w:cs="仿宋_GB2312" w:hint="eastAsia"/>
                <w:kern w:val="0"/>
                <w:szCs w:val="32"/>
              </w:rPr>
              <w:t>户。</w:t>
            </w:r>
          </w:p>
        </w:tc>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037" w:rsidRDefault="00AE78B2">
            <w:pPr>
              <w:widowControl/>
              <w:spacing w:line="360" w:lineRule="exact"/>
              <w:jc w:val="center"/>
              <w:textAlignment w:val="center"/>
              <w:rPr>
                <w:rFonts w:ascii="仿宋_GB2312" w:eastAsia="仿宋_GB2312" w:hAnsi="宋体" w:cs="仿宋_GB2312"/>
                <w:color w:val="000000"/>
                <w:sz w:val="28"/>
                <w:szCs w:val="28"/>
              </w:rPr>
            </w:pPr>
            <w:r w:rsidRPr="00AE78B2">
              <w:rPr>
                <w:rFonts w:ascii="仿宋_GB2312" w:eastAsia="仿宋_GB2312" w:hAnsi="宋体" w:cs="仿宋_GB2312" w:hint="eastAsia"/>
                <w:color w:val="000000"/>
                <w:kern w:val="0"/>
                <w:sz w:val="28"/>
                <w:szCs w:val="28"/>
                <w:highlight w:val="yellow"/>
              </w:rPr>
              <w:t>（已完成）</w:t>
            </w:r>
          </w:p>
        </w:tc>
      </w:tr>
      <w:tr w:rsidR="00C07037">
        <w:trPr>
          <w:trHeight w:val="567"/>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037" w:rsidRDefault="00E06413">
            <w:pPr>
              <w:widowControl/>
              <w:spacing w:line="360" w:lineRule="exact"/>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九、坚定不移防风险，守牢安全发展底线</w:t>
            </w:r>
          </w:p>
        </w:tc>
      </w:tr>
      <w:tr w:rsidR="00C07037" w:rsidTr="00867477">
        <w:trPr>
          <w:trHeight w:val="3763"/>
          <w:jc w:val="center"/>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037" w:rsidRDefault="00E06413">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lastRenderedPageBreak/>
              <w:t>106</w:t>
            </w:r>
          </w:p>
        </w:tc>
        <w:tc>
          <w:tcPr>
            <w:tcW w:w="1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037" w:rsidRDefault="00E06413">
            <w:pPr>
              <w:widowControl/>
              <w:spacing w:line="360" w:lineRule="exac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坚持外防输入、内防反弹，扎紧“四个口袋”，压实“四方”责任，健全平急速转工作机制，强化重点环节、重点场所、重点人群管控，持续加强核酸检测、流调溯源、隔离管控、医疗救治、社会免疫等能力建设，提高应急处置效率和防控工作水平，坚决筑牢疫情防控屏障，坚决巩固住来之不易的疫情防控成果。</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7037" w:rsidRDefault="00E06413">
            <w:pPr>
              <w:widowControl/>
              <w:spacing w:line="360" w:lineRule="exact"/>
              <w:jc w:val="center"/>
              <w:textAlignment w:val="center"/>
              <w:rPr>
                <w:rFonts w:ascii="仿宋_GB2312" w:eastAsia="仿宋_GB2312" w:hAnsi="宋体" w:cs="仿宋_GB2312"/>
                <w:color w:val="000000"/>
                <w:sz w:val="28"/>
                <w:szCs w:val="28"/>
              </w:rPr>
            </w:pPr>
            <w:r w:rsidRPr="00E06413">
              <w:rPr>
                <w:rFonts w:ascii="仿宋_GB2312" w:eastAsia="仿宋_GB2312" w:hAnsi="宋体" w:cs="仿宋_GB2312" w:hint="eastAsia"/>
                <w:color w:val="FF0000"/>
                <w:kern w:val="0"/>
                <w:sz w:val="28"/>
                <w:szCs w:val="28"/>
                <w:highlight w:val="yellow"/>
              </w:rPr>
              <w:t>市卫生健康委等市新冠肺炎疫情防控指挥部各成员单位</w:t>
            </w:r>
            <w:r>
              <w:rPr>
                <w:rFonts w:ascii="仿宋_GB2312" w:eastAsia="仿宋_GB2312" w:hAnsi="宋体" w:cs="仿宋_GB2312" w:hint="eastAsia"/>
                <w:color w:val="000000"/>
                <w:kern w:val="0"/>
                <w:sz w:val="28"/>
                <w:szCs w:val="28"/>
              </w:rPr>
              <w:br/>
              <w:t>各县（市、区）政府</w:t>
            </w:r>
            <w:r>
              <w:rPr>
                <w:rFonts w:ascii="仿宋_GB2312" w:eastAsia="仿宋_GB2312" w:hAnsi="宋体" w:cs="仿宋_GB2312" w:hint="eastAsia"/>
                <w:color w:val="000000"/>
                <w:kern w:val="0"/>
                <w:sz w:val="28"/>
                <w:szCs w:val="28"/>
              </w:rPr>
              <w:br/>
              <w:t>示范区管委会</w:t>
            </w:r>
          </w:p>
        </w:tc>
        <w:tc>
          <w:tcPr>
            <w:tcW w:w="2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7037" w:rsidRDefault="000310E1" w:rsidP="00656F22">
            <w:pPr>
              <w:widowControl/>
              <w:spacing w:line="360" w:lineRule="exact"/>
              <w:textAlignment w:val="center"/>
              <w:rPr>
                <w:rFonts w:ascii="仿宋_GB2312" w:eastAsia="仿宋_GB2312" w:hAnsi="宋体" w:cs="仿宋_GB2312"/>
                <w:color w:val="000000"/>
                <w:sz w:val="28"/>
                <w:szCs w:val="28"/>
              </w:rPr>
            </w:pPr>
            <w:r w:rsidRPr="002C24C5">
              <w:rPr>
                <w:rFonts w:ascii="仿宋_GB2312" w:hAnsi="宋体" w:cs="仿宋_GB2312" w:hint="eastAsia"/>
                <w:kern w:val="0"/>
                <w:szCs w:val="32"/>
              </w:rPr>
              <w:t>全市累计激活“豫冷链”企业主体</w:t>
            </w:r>
            <w:r w:rsidRPr="002C24C5">
              <w:rPr>
                <w:rFonts w:ascii="仿宋_GB2312" w:hAnsi="宋体" w:cs="仿宋_GB2312" w:hint="eastAsia"/>
                <w:kern w:val="0"/>
                <w:szCs w:val="32"/>
              </w:rPr>
              <w:t>652</w:t>
            </w:r>
            <w:r w:rsidRPr="002C24C5">
              <w:rPr>
                <w:rFonts w:ascii="仿宋_GB2312" w:hAnsi="宋体" w:cs="仿宋_GB2312" w:hint="eastAsia"/>
                <w:kern w:val="0"/>
                <w:szCs w:val="32"/>
              </w:rPr>
              <w:t>家，累计流入进口冷冻货品重量</w:t>
            </w:r>
            <w:r w:rsidRPr="002C24C5">
              <w:rPr>
                <w:rFonts w:ascii="仿宋_GB2312" w:hAnsi="宋体" w:cs="仿宋_GB2312" w:hint="eastAsia"/>
                <w:kern w:val="0"/>
                <w:szCs w:val="32"/>
              </w:rPr>
              <w:t>1777.62</w:t>
            </w:r>
            <w:r w:rsidRPr="002C24C5">
              <w:rPr>
                <w:rFonts w:ascii="仿宋_GB2312" w:hAnsi="宋体" w:cs="仿宋_GB2312" w:hint="eastAsia"/>
                <w:kern w:val="0"/>
                <w:szCs w:val="32"/>
              </w:rPr>
              <w:t>吨，发放溯源码</w:t>
            </w:r>
            <w:r w:rsidRPr="002C24C5">
              <w:rPr>
                <w:rFonts w:ascii="仿宋_GB2312" w:hAnsi="宋体" w:cs="仿宋_GB2312" w:hint="eastAsia"/>
                <w:kern w:val="0"/>
                <w:szCs w:val="32"/>
              </w:rPr>
              <w:t>84566</w:t>
            </w:r>
            <w:r w:rsidRPr="002C24C5">
              <w:rPr>
                <w:rFonts w:ascii="仿宋_GB2312" w:hAnsi="宋体" w:cs="仿宋_GB2312" w:hint="eastAsia"/>
                <w:kern w:val="0"/>
                <w:szCs w:val="32"/>
              </w:rPr>
              <w:t>个，监测和检测进口冷链食品</w:t>
            </w:r>
            <w:r w:rsidRPr="002C24C5">
              <w:rPr>
                <w:rFonts w:ascii="仿宋_GB2312" w:hAnsi="宋体" w:cs="仿宋_GB2312" w:hint="eastAsia"/>
                <w:kern w:val="0"/>
                <w:szCs w:val="32"/>
              </w:rPr>
              <w:t>1777.62</w:t>
            </w:r>
            <w:r w:rsidRPr="002C24C5">
              <w:rPr>
                <w:rFonts w:ascii="仿宋_GB2312" w:hAnsi="宋体" w:cs="仿宋_GB2312" w:hint="eastAsia"/>
                <w:kern w:val="0"/>
                <w:szCs w:val="32"/>
              </w:rPr>
              <w:t>吨，有效处置境外涉疫水果</w:t>
            </w:r>
            <w:r w:rsidRPr="002C24C5">
              <w:rPr>
                <w:rFonts w:ascii="仿宋_GB2312" w:hAnsi="宋体" w:cs="仿宋_GB2312" w:hint="eastAsia"/>
                <w:kern w:val="0"/>
                <w:szCs w:val="32"/>
              </w:rPr>
              <w:t>0</w:t>
            </w:r>
            <w:r w:rsidRPr="002C24C5">
              <w:rPr>
                <w:rFonts w:ascii="仿宋_GB2312" w:hAnsi="宋体" w:cs="仿宋_GB2312" w:hint="eastAsia"/>
                <w:kern w:val="0"/>
                <w:szCs w:val="32"/>
              </w:rPr>
              <w:t>件，国际邮件物品</w:t>
            </w:r>
            <w:r w:rsidRPr="002C24C5">
              <w:rPr>
                <w:rFonts w:ascii="仿宋_GB2312" w:hAnsi="宋体" w:cs="仿宋_GB2312" w:hint="eastAsia"/>
                <w:kern w:val="0"/>
                <w:szCs w:val="32"/>
              </w:rPr>
              <w:t>290</w:t>
            </w:r>
            <w:r w:rsidRPr="002C24C5">
              <w:rPr>
                <w:rFonts w:ascii="仿宋_GB2312" w:hAnsi="宋体" w:cs="仿宋_GB2312" w:hint="eastAsia"/>
                <w:kern w:val="0"/>
                <w:szCs w:val="32"/>
              </w:rPr>
              <w:t>件。</w:t>
            </w:r>
            <w:r w:rsidR="00B13C75" w:rsidRPr="002C24C5">
              <w:rPr>
                <w:rFonts w:ascii="仿宋_GB2312" w:hAnsi="宋体" w:cs="仿宋_GB2312" w:hint="eastAsia"/>
                <w:kern w:val="0"/>
                <w:szCs w:val="32"/>
              </w:rPr>
              <w:t>排查出进口非冷链货物生产经营单位</w:t>
            </w:r>
            <w:r w:rsidR="00B13C75" w:rsidRPr="002C24C5">
              <w:rPr>
                <w:rFonts w:ascii="仿宋_GB2312" w:hAnsi="宋体" w:cs="仿宋_GB2312" w:hint="eastAsia"/>
                <w:kern w:val="0"/>
                <w:szCs w:val="32"/>
              </w:rPr>
              <w:t>1517</w:t>
            </w:r>
            <w:r w:rsidR="00B13C75" w:rsidRPr="002C24C5">
              <w:rPr>
                <w:rFonts w:ascii="仿宋_GB2312" w:hAnsi="宋体" w:cs="仿宋_GB2312" w:hint="eastAsia"/>
                <w:kern w:val="0"/>
                <w:szCs w:val="32"/>
              </w:rPr>
              <w:t>家，发现并整改问题</w:t>
            </w:r>
            <w:r w:rsidR="00B13C75" w:rsidRPr="002C24C5">
              <w:rPr>
                <w:rFonts w:ascii="仿宋_GB2312" w:hAnsi="宋体" w:cs="仿宋_GB2312" w:hint="eastAsia"/>
                <w:kern w:val="0"/>
                <w:szCs w:val="32"/>
              </w:rPr>
              <w:t>42</w:t>
            </w:r>
            <w:r w:rsidR="00B13C75" w:rsidRPr="002C24C5">
              <w:rPr>
                <w:rFonts w:ascii="仿宋_GB2312" w:hAnsi="宋体" w:cs="仿宋_GB2312" w:hint="eastAsia"/>
                <w:kern w:val="0"/>
                <w:szCs w:val="32"/>
              </w:rPr>
              <w:t>个。全市进口货物核酸检测样本总计</w:t>
            </w:r>
            <w:r w:rsidR="00B13C75" w:rsidRPr="002C24C5">
              <w:rPr>
                <w:rFonts w:ascii="仿宋_GB2312" w:hAnsi="宋体" w:cs="仿宋_GB2312" w:hint="eastAsia"/>
                <w:kern w:val="0"/>
                <w:szCs w:val="32"/>
              </w:rPr>
              <w:t>58028</w:t>
            </w:r>
            <w:r w:rsidR="00B13C75" w:rsidRPr="002C24C5">
              <w:rPr>
                <w:rFonts w:ascii="仿宋_GB2312" w:hAnsi="宋体" w:cs="仿宋_GB2312" w:hint="eastAsia"/>
                <w:kern w:val="0"/>
                <w:szCs w:val="32"/>
              </w:rPr>
              <w:t>份，其中货物样本</w:t>
            </w:r>
            <w:r w:rsidR="00B13C75" w:rsidRPr="002C24C5">
              <w:rPr>
                <w:rFonts w:ascii="仿宋_GB2312" w:hAnsi="宋体" w:cs="仿宋_GB2312" w:hint="eastAsia"/>
                <w:kern w:val="0"/>
                <w:szCs w:val="32"/>
              </w:rPr>
              <w:t>14576</w:t>
            </w:r>
            <w:r w:rsidR="00B13C75" w:rsidRPr="002C24C5">
              <w:rPr>
                <w:rFonts w:ascii="仿宋_GB2312" w:hAnsi="宋体" w:cs="仿宋_GB2312" w:hint="eastAsia"/>
                <w:kern w:val="0"/>
                <w:szCs w:val="32"/>
              </w:rPr>
              <w:t>份、货物包装样本</w:t>
            </w:r>
            <w:r w:rsidR="00B13C75" w:rsidRPr="002C24C5">
              <w:rPr>
                <w:rFonts w:ascii="仿宋_GB2312" w:hAnsi="宋体" w:cs="仿宋_GB2312" w:hint="eastAsia"/>
                <w:kern w:val="0"/>
                <w:szCs w:val="32"/>
              </w:rPr>
              <w:t>17474</w:t>
            </w:r>
            <w:r w:rsidR="00B13C75" w:rsidRPr="002C24C5">
              <w:rPr>
                <w:rFonts w:ascii="仿宋_GB2312" w:hAnsi="宋体" w:cs="仿宋_GB2312" w:hint="eastAsia"/>
                <w:kern w:val="0"/>
                <w:szCs w:val="32"/>
              </w:rPr>
              <w:t>份、环境</w:t>
            </w:r>
            <w:r w:rsidR="00B13C75" w:rsidRPr="002C24C5">
              <w:rPr>
                <w:rFonts w:ascii="仿宋_GB2312" w:hAnsi="宋体" w:cs="仿宋_GB2312" w:hint="eastAsia"/>
                <w:kern w:val="0"/>
                <w:szCs w:val="32"/>
              </w:rPr>
              <w:t>11529</w:t>
            </w:r>
            <w:r w:rsidR="00B13C75" w:rsidRPr="002C24C5">
              <w:rPr>
                <w:rFonts w:ascii="仿宋_GB2312" w:hAnsi="宋体" w:cs="仿宋_GB2312" w:hint="eastAsia"/>
                <w:kern w:val="0"/>
                <w:szCs w:val="32"/>
              </w:rPr>
              <w:t>份、从业人员</w:t>
            </w:r>
            <w:r w:rsidR="00B13C75" w:rsidRPr="002C24C5">
              <w:rPr>
                <w:rFonts w:ascii="仿宋_GB2312" w:hAnsi="宋体" w:cs="仿宋_GB2312" w:hint="eastAsia"/>
                <w:kern w:val="0"/>
                <w:szCs w:val="32"/>
              </w:rPr>
              <w:t>14449</w:t>
            </w:r>
            <w:r w:rsidR="00B13C75" w:rsidRPr="002C24C5">
              <w:rPr>
                <w:rFonts w:ascii="仿宋_GB2312" w:hAnsi="宋体" w:cs="仿宋_GB2312" w:hint="eastAsia"/>
                <w:kern w:val="0"/>
                <w:szCs w:val="32"/>
              </w:rPr>
              <w:t>份。</w:t>
            </w:r>
            <w:r w:rsidR="00656F22" w:rsidRPr="002C24C5">
              <w:rPr>
                <w:rFonts w:ascii="仿宋_GB2312" w:hAnsi="宋体" w:cs="仿宋_GB2312" w:hint="eastAsia"/>
                <w:kern w:val="0"/>
                <w:szCs w:val="32"/>
              </w:rPr>
              <w:t>开展“场所码”使用专项检查，全市药品零售企业均已申请并使用“场所码”</w:t>
            </w:r>
            <w:r w:rsidR="00656F22" w:rsidRPr="002C24C5">
              <w:rPr>
                <w:rFonts w:ascii="仿宋_GB2312" w:hAnsi="宋体" w:cs="仿宋_GB2312" w:hint="eastAsia"/>
                <w:kern w:val="0"/>
                <w:szCs w:val="32"/>
              </w:rPr>
              <w:t>,</w:t>
            </w:r>
            <w:r w:rsidR="00656F22" w:rsidRPr="002C24C5">
              <w:rPr>
                <w:rFonts w:ascii="仿宋_GB2312" w:hAnsi="宋体" w:cs="仿宋_GB2312" w:hint="eastAsia"/>
                <w:kern w:val="0"/>
                <w:szCs w:val="32"/>
              </w:rPr>
              <w:t>覆盖率</w:t>
            </w:r>
            <w:r w:rsidR="00656F22" w:rsidRPr="002C24C5">
              <w:rPr>
                <w:rFonts w:ascii="仿宋_GB2312" w:hAnsi="宋体" w:cs="仿宋_GB2312" w:hint="eastAsia"/>
                <w:kern w:val="0"/>
                <w:szCs w:val="32"/>
              </w:rPr>
              <w:t>100%</w:t>
            </w:r>
            <w:r w:rsidR="00656F22" w:rsidRPr="002C24C5">
              <w:rPr>
                <w:rFonts w:ascii="仿宋_GB2312" w:hAnsi="宋体" w:cs="仿宋_GB2312" w:hint="eastAsia"/>
                <w:kern w:val="0"/>
                <w:szCs w:val="32"/>
              </w:rPr>
              <w:t>。组织开展零售药店疫情防控应急演练，强化疫情防控应急处置能力，提高药品安全保障能力。</w:t>
            </w:r>
          </w:p>
        </w:tc>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037" w:rsidRDefault="00C57E14">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完成</w:t>
            </w:r>
          </w:p>
        </w:tc>
      </w:tr>
      <w:tr w:rsidR="00867477" w:rsidTr="00867477">
        <w:trPr>
          <w:trHeight w:val="3763"/>
          <w:jc w:val="center"/>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477" w:rsidRDefault="00867477" w:rsidP="00614BA9">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112</w:t>
            </w:r>
          </w:p>
        </w:tc>
        <w:tc>
          <w:tcPr>
            <w:tcW w:w="1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477" w:rsidRDefault="00867477" w:rsidP="00614BA9">
            <w:pPr>
              <w:widowControl/>
              <w:spacing w:line="360" w:lineRule="exac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深入开展安全生产专项整治三年行动和安全生产大检查活动，全面排查整治风险隐患，严打非法违法生产经营行为。</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7477" w:rsidRDefault="00867477" w:rsidP="00614BA9">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市应急管理局</w:t>
            </w:r>
            <w:r>
              <w:rPr>
                <w:rFonts w:ascii="仿宋_GB2312" w:eastAsia="仿宋_GB2312" w:hAnsi="宋体" w:cs="仿宋_GB2312" w:hint="eastAsia"/>
                <w:color w:val="000000"/>
                <w:kern w:val="0"/>
                <w:sz w:val="28"/>
                <w:szCs w:val="28"/>
              </w:rPr>
              <w:br/>
            </w:r>
            <w:r w:rsidRPr="00E06413">
              <w:rPr>
                <w:rFonts w:ascii="仿宋_GB2312" w:eastAsia="仿宋_GB2312" w:hAnsi="宋体" w:cs="仿宋_GB2312" w:hint="eastAsia"/>
                <w:color w:val="FF0000"/>
                <w:kern w:val="0"/>
                <w:sz w:val="28"/>
                <w:szCs w:val="28"/>
                <w:highlight w:val="yellow"/>
              </w:rPr>
              <w:t>市市场监督管理局</w:t>
            </w:r>
            <w:r w:rsidRPr="00E06413">
              <w:rPr>
                <w:rFonts w:ascii="仿宋_GB2312" w:eastAsia="仿宋_GB2312" w:hAnsi="宋体" w:cs="仿宋_GB2312" w:hint="eastAsia"/>
                <w:color w:val="FF0000"/>
                <w:kern w:val="0"/>
                <w:sz w:val="28"/>
                <w:szCs w:val="28"/>
                <w:highlight w:val="yellow"/>
              </w:rPr>
              <w:br/>
            </w:r>
            <w:r>
              <w:rPr>
                <w:rFonts w:ascii="仿宋_GB2312" w:eastAsia="仿宋_GB2312" w:hAnsi="宋体" w:cs="仿宋_GB2312" w:hint="eastAsia"/>
                <w:color w:val="000000"/>
                <w:kern w:val="0"/>
                <w:sz w:val="28"/>
                <w:szCs w:val="28"/>
              </w:rPr>
              <w:t>各县（市、区）政府</w:t>
            </w:r>
            <w:r>
              <w:rPr>
                <w:rFonts w:ascii="仿宋_GB2312" w:eastAsia="仿宋_GB2312" w:hAnsi="宋体" w:cs="仿宋_GB2312" w:hint="eastAsia"/>
                <w:color w:val="000000"/>
                <w:kern w:val="0"/>
                <w:sz w:val="28"/>
                <w:szCs w:val="28"/>
              </w:rPr>
              <w:br/>
              <w:t>示范区管委会</w:t>
            </w:r>
          </w:p>
        </w:tc>
        <w:tc>
          <w:tcPr>
            <w:tcW w:w="2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7477" w:rsidRDefault="007E34A6" w:rsidP="000310E1">
            <w:pPr>
              <w:widowControl/>
              <w:spacing w:line="360" w:lineRule="exact"/>
              <w:textAlignment w:val="center"/>
              <w:rPr>
                <w:rFonts w:ascii="仿宋_GB2312" w:eastAsia="仿宋_GB2312" w:hAnsi="宋体" w:cs="仿宋_GB2312"/>
                <w:color w:val="000000"/>
                <w:sz w:val="28"/>
                <w:szCs w:val="28"/>
              </w:rPr>
            </w:pPr>
            <w:r w:rsidRPr="002C24C5">
              <w:rPr>
                <w:rFonts w:ascii="仿宋_GB2312" w:hAnsi="宋体" w:cs="仿宋_GB2312" w:hint="eastAsia"/>
                <w:kern w:val="0"/>
                <w:szCs w:val="32"/>
              </w:rPr>
              <w:t>排查全市</w:t>
            </w:r>
            <w:r w:rsidRPr="002C24C5">
              <w:rPr>
                <w:rFonts w:ascii="仿宋_GB2312" w:hAnsi="宋体" w:cs="仿宋_GB2312" w:hint="eastAsia"/>
                <w:kern w:val="0"/>
                <w:szCs w:val="32"/>
              </w:rPr>
              <w:t>41062</w:t>
            </w:r>
            <w:r w:rsidRPr="002C24C5">
              <w:rPr>
                <w:rFonts w:ascii="仿宋_GB2312" w:hAnsi="宋体" w:cs="仿宋_GB2312" w:hint="eastAsia"/>
                <w:kern w:val="0"/>
                <w:szCs w:val="32"/>
              </w:rPr>
              <w:t>台特种设备</w:t>
            </w:r>
            <w:r w:rsidR="00D548D2" w:rsidRPr="002C24C5">
              <w:rPr>
                <w:rFonts w:ascii="仿宋_GB2312" w:hAnsi="宋体" w:cs="仿宋_GB2312" w:hint="eastAsia"/>
                <w:kern w:val="0"/>
                <w:szCs w:val="32"/>
              </w:rPr>
              <w:t>，</w:t>
            </w:r>
            <w:r w:rsidRPr="002C24C5">
              <w:rPr>
                <w:rFonts w:ascii="仿宋_GB2312" w:hAnsi="宋体" w:cs="仿宋_GB2312" w:hint="eastAsia"/>
                <w:kern w:val="0"/>
                <w:szCs w:val="32"/>
              </w:rPr>
              <w:t>检查设备</w:t>
            </w:r>
            <w:r w:rsidRPr="002C24C5">
              <w:rPr>
                <w:rFonts w:ascii="仿宋_GB2312" w:hAnsi="宋体" w:cs="仿宋_GB2312" w:hint="eastAsia"/>
                <w:kern w:val="0"/>
                <w:szCs w:val="32"/>
              </w:rPr>
              <w:t>2112</w:t>
            </w:r>
            <w:r w:rsidRPr="002C24C5">
              <w:rPr>
                <w:rFonts w:ascii="仿宋_GB2312" w:hAnsi="宋体" w:cs="仿宋_GB2312" w:hint="eastAsia"/>
                <w:kern w:val="0"/>
                <w:szCs w:val="32"/>
              </w:rPr>
              <w:t>台，发出监察指令书</w:t>
            </w:r>
            <w:r w:rsidRPr="002C24C5">
              <w:rPr>
                <w:rFonts w:ascii="仿宋_GB2312" w:hAnsi="宋体" w:cs="仿宋_GB2312" w:hint="eastAsia"/>
                <w:kern w:val="0"/>
                <w:szCs w:val="32"/>
              </w:rPr>
              <w:t>101</w:t>
            </w:r>
            <w:r w:rsidRPr="002C24C5">
              <w:rPr>
                <w:rFonts w:ascii="仿宋_GB2312" w:hAnsi="宋体" w:cs="仿宋_GB2312" w:hint="eastAsia"/>
                <w:kern w:val="0"/>
                <w:szCs w:val="32"/>
              </w:rPr>
              <w:t>份，立案处罚</w:t>
            </w:r>
            <w:r w:rsidRPr="002C24C5">
              <w:rPr>
                <w:rFonts w:ascii="仿宋_GB2312" w:hAnsi="宋体" w:cs="仿宋_GB2312" w:hint="eastAsia"/>
                <w:kern w:val="0"/>
                <w:szCs w:val="32"/>
              </w:rPr>
              <w:t>24</w:t>
            </w:r>
            <w:r w:rsidRPr="002C24C5">
              <w:rPr>
                <w:rFonts w:ascii="仿宋_GB2312" w:hAnsi="宋体" w:cs="仿宋_GB2312" w:hint="eastAsia"/>
                <w:kern w:val="0"/>
                <w:szCs w:val="32"/>
              </w:rPr>
              <w:t>起，处罚金额</w:t>
            </w:r>
            <w:r w:rsidRPr="002C24C5">
              <w:rPr>
                <w:rFonts w:ascii="仿宋_GB2312" w:hAnsi="宋体" w:cs="仿宋_GB2312" w:hint="eastAsia"/>
                <w:kern w:val="0"/>
                <w:szCs w:val="32"/>
              </w:rPr>
              <w:t>77.24</w:t>
            </w:r>
            <w:r w:rsidRPr="002C24C5">
              <w:rPr>
                <w:rFonts w:ascii="仿宋_GB2312" w:hAnsi="宋体" w:cs="仿宋_GB2312" w:hint="eastAsia"/>
                <w:kern w:val="0"/>
                <w:szCs w:val="32"/>
              </w:rPr>
              <w:t>万元，</w:t>
            </w:r>
            <w:r w:rsidR="000310E1" w:rsidRPr="002C24C5">
              <w:rPr>
                <w:rFonts w:ascii="仿宋_GB2312" w:hAnsi="宋体" w:cs="仿宋_GB2312" w:hint="eastAsia"/>
                <w:kern w:val="0"/>
                <w:szCs w:val="32"/>
              </w:rPr>
              <w:t>检查</w:t>
            </w:r>
            <w:r w:rsidR="000310E1" w:rsidRPr="002C24C5">
              <w:rPr>
                <w:rFonts w:ascii="仿宋_GB2312" w:hAnsi="宋体" w:cs="仿宋_GB2312" w:hint="eastAsia"/>
                <w:kern w:val="0"/>
                <w:szCs w:val="32"/>
              </w:rPr>
              <w:t>19</w:t>
            </w:r>
            <w:r w:rsidR="000310E1" w:rsidRPr="002C24C5">
              <w:rPr>
                <w:rFonts w:ascii="仿宋_GB2312" w:hAnsi="宋体" w:cs="仿宋_GB2312" w:hint="eastAsia"/>
                <w:kern w:val="0"/>
                <w:szCs w:val="32"/>
              </w:rPr>
              <w:t>类产品生产经营单位</w:t>
            </w:r>
            <w:r w:rsidR="000310E1" w:rsidRPr="002C24C5">
              <w:rPr>
                <w:rFonts w:ascii="仿宋_GB2312" w:hAnsi="宋体" w:cs="仿宋_GB2312" w:hint="eastAsia"/>
                <w:kern w:val="0"/>
                <w:szCs w:val="32"/>
              </w:rPr>
              <w:t>626</w:t>
            </w:r>
            <w:r w:rsidR="000310E1" w:rsidRPr="002C24C5">
              <w:rPr>
                <w:rFonts w:ascii="仿宋_GB2312" w:hAnsi="宋体" w:cs="仿宋_GB2312" w:hint="eastAsia"/>
                <w:kern w:val="0"/>
                <w:szCs w:val="32"/>
              </w:rPr>
              <w:t>家次</w:t>
            </w:r>
            <w:r w:rsidRPr="002C24C5">
              <w:rPr>
                <w:rFonts w:ascii="仿宋_GB2312" w:hAnsi="宋体" w:cs="仿宋_GB2312" w:hint="eastAsia"/>
                <w:kern w:val="0"/>
                <w:szCs w:val="32"/>
              </w:rPr>
              <w:t>，监督抽查</w:t>
            </w:r>
            <w:r w:rsidR="000310E1" w:rsidRPr="002C24C5">
              <w:rPr>
                <w:rFonts w:ascii="仿宋_GB2312" w:hAnsi="宋体" w:cs="仿宋_GB2312" w:hint="eastAsia"/>
                <w:kern w:val="0"/>
                <w:szCs w:val="32"/>
              </w:rPr>
              <w:t>6</w:t>
            </w:r>
            <w:r w:rsidR="000310E1" w:rsidRPr="002C24C5">
              <w:rPr>
                <w:rFonts w:ascii="仿宋_GB2312" w:hAnsi="宋体" w:cs="仿宋_GB2312"/>
                <w:kern w:val="0"/>
                <w:szCs w:val="32"/>
              </w:rPr>
              <w:t>6</w:t>
            </w:r>
            <w:r w:rsidRPr="002C24C5">
              <w:rPr>
                <w:rFonts w:ascii="仿宋_GB2312" w:hAnsi="宋体" w:cs="仿宋_GB2312" w:hint="eastAsia"/>
                <w:kern w:val="0"/>
                <w:szCs w:val="32"/>
              </w:rPr>
              <w:t>批次，</w:t>
            </w:r>
            <w:r w:rsidR="000310E1" w:rsidRPr="002C24C5">
              <w:rPr>
                <w:rFonts w:ascii="仿宋_GB2312" w:hAnsi="宋体" w:cs="仿宋_GB2312" w:hint="eastAsia"/>
                <w:kern w:val="0"/>
                <w:szCs w:val="32"/>
              </w:rPr>
              <w:t>2</w:t>
            </w:r>
            <w:r w:rsidR="000310E1" w:rsidRPr="002C24C5">
              <w:rPr>
                <w:rFonts w:ascii="仿宋_GB2312" w:hAnsi="宋体" w:cs="仿宋_GB2312" w:hint="eastAsia"/>
                <w:kern w:val="0"/>
                <w:szCs w:val="32"/>
              </w:rPr>
              <w:t>批次不</w:t>
            </w:r>
            <w:r w:rsidRPr="002C24C5">
              <w:rPr>
                <w:rFonts w:ascii="仿宋_GB2312" w:hAnsi="宋体" w:cs="仿宋_GB2312" w:hint="eastAsia"/>
                <w:kern w:val="0"/>
                <w:szCs w:val="32"/>
              </w:rPr>
              <w:t>合格，</w:t>
            </w:r>
            <w:r w:rsidR="00D548D2" w:rsidRPr="002C24C5">
              <w:rPr>
                <w:rFonts w:ascii="仿宋_GB2312" w:hAnsi="宋体" w:cs="仿宋_GB2312" w:hint="eastAsia"/>
                <w:kern w:val="0"/>
                <w:szCs w:val="32"/>
              </w:rPr>
              <w:t>全市未发生较大及以上生产安全事故，安全生产总体形势平稳。持续开展市场监管系统城镇燃气安全排查整治，</w:t>
            </w:r>
            <w:r w:rsidRPr="002C24C5">
              <w:rPr>
                <w:rFonts w:ascii="仿宋_GB2312" w:hAnsi="宋体" w:cs="仿宋_GB2312" w:hint="eastAsia"/>
                <w:kern w:val="0"/>
                <w:szCs w:val="32"/>
              </w:rPr>
              <w:t>已完成</w:t>
            </w:r>
            <w:r w:rsidRPr="002C24C5">
              <w:rPr>
                <w:rFonts w:ascii="仿宋_GB2312" w:hAnsi="宋体" w:cs="仿宋_GB2312" w:hint="eastAsia"/>
                <w:kern w:val="0"/>
                <w:szCs w:val="32"/>
              </w:rPr>
              <w:t>2041.28</w:t>
            </w:r>
            <w:r w:rsidRPr="002C24C5">
              <w:rPr>
                <w:rFonts w:ascii="仿宋_GB2312" w:hAnsi="宋体" w:cs="仿宋_GB2312" w:hint="eastAsia"/>
                <w:kern w:val="0"/>
                <w:szCs w:val="32"/>
              </w:rPr>
              <w:t>公里的</w:t>
            </w:r>
            <w:r w:rsidRPr="002C24C5">
              <w:rPr>
                <w:rFonts w:ascii="仿宋_GB2312" w:hAnsi="宋体" w:cs="仿宋_GB2312" w:hint="eastAsia"/>
                <w:kern w:val="0"/>
                <w:szCs w:val="32"/>
              </w:rPr>
              <w:t>PE</w:t>
            </w:r>
            <w:r w:rsidRPr="002C24C5">
              <w:rPr>
                <w:rFonts w:ascii="仿宋_GB2312" w:hAnsi="宋体" w:cs="仿宋_GB2312" w:hint="eastAsia"/>
                <w:kern w:val="0"/>
                <w:szCs w:val="32"/>
              </w:rPr>
              <w:t>管道以及</w:t>
            </w:r>
            <w:r w:rsidRPr="002C24C5">
              <w:rPr>
                <w:rFonts w:ascii="仿宋_GB2312" w:hAnsi="宋体" w:cs="仿宋_GB2312" w:hint="eastAsia"/>
                <w:kern w:val="0"/>
                <w:szCs w:val="32"/>
              </w:rPr>
              <w:t>47.5</w:t>
            </w:r>
            <w:r w:rsidRPr="002C24C5">
              <w:rPr>
                <w:rFonts w:ascii="仿宋_GB2312" w:hAnsi="宋体" w:cs="仿宋_GB2312" w:hint="eastAsia"/>
                <w:kern w:val="0"/>
                <w:szCs w:val="32"/>
              </w:rPr>
              <w:t>公里钢制管道的检验工作，工作开展进度持续位居全省首位，目前正在督促管道使用单位对检验中发现的问题隐患进行“回头看”，落实整改</w:t>
            </w:r>
            <w:r w:rsidR="00D548D2" w:rsidRPr="002C24C5">
              <w:rPr>
                <w:rFonts w:ascii="仿宋_GB2312" w:hAnsi="宋体" w:cs="仿宋_GB2312" w:hint="eastAsia"/>
                <w:kern w:val="0"/>
                <w:szCs w:val="32"/>
              </w:rPr>
              <w:t>。</w:t>
            </w:r>
          </w:p>
        </w:tc>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477" w:rsidRDefault="00860A63" w:rsidP="00614BA9">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持续</w:t>
            </w:r>
            <w:r w:rsidR="00867477">
              <w:rPr>
                <w:rFonts w:ascii="仿宋_GB2312" w:eastAsia="仿宋_GB2312" w:hAnsi="宋体" w:cs="仿宋_GB2312" w:hint="eastAsia"/>
                <w:color w:val="000000"/>
                <w:kern w:val="0"/>
                <w:sz w:val="28"/>
                <w:szCs w:val="28"/>
              </w:rPr>
              <w:t>推进</w:t>
            </w:r>
          </w:p>
        </w:tc>
      </w:tr>
      <w:tr w:rsidR="00867477" w:rsidTr="00867477">
        <w:trPr>
          <w:trHeight w:val="503"/>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7477" w:rsidRDefault="00867477">
            <w:pPr>
              <w:widowControl/>
              <w:spacing w:line="360" w:lineRule="exact"/>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十、坚定不移惠民生，不断增进人民福祉</w:t>
            </w:r>
          </w:p>
        </w:tc>
      </w:tr>
      <w:tr w:rsidR="00867477" w:rsidTr="00867477">
        <w:trPr>
          <w:trHeight w:val="3621"/>
          <w:jc w:val="center"/>
        </w:trPr>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477" w:rsidRDefault="00867477" w:rsidP="00614BA9">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lastRenderedPageBreak/>
              <w:t>123</w:t>
            </w:r>
          </w:p>
        </w:tc>
        <w:tc>
          <w:tcPr>
            <w:tcW w:w="1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477" w:rsidRDefault="00867477" w:rsidP="00614BA9">
            <w:pPr>
              <w:widowControl/>
              <w:spacing w:line="360" w:lineRule="exac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强化食品药品监管。</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7477" w:rsidRDefault="00867477" w:rsidP="00614BA9">
            <w:pPr>
              <w:widowControl/>
              <w:spacing w:line="360" w:lineRule="exact"/>
              <w:jc w:val="center"/>
              <w:textAlignment w:val="center"/>
              <w:rPr>
                <w:rFonts w:ascii="仿宋_GB2312" w:eastAsia="仿宋_GB2312" w:hAnsi="宋体" w:cs="仿宋_GB2312"/>
                <w:color w:val="000000"/>
                <w:sz w:val="28"/>
                <w:szCs w:val="28"/>
              </w:rPr>
            </w:pPr>
            <w:r w:rsidRPr="00E06413">
              <w:rPr>
                <w:rFonts w:ascii="仿宋_GB2312" w:eastAsia="仿宋_GB2312" w:hAnsi="宋体" w:cs="仿宋_GB2312" w:hint="eastAsia"/>
                <w:color w:val="FF0000"/>
                <w:kern w:val="0"/>
                <w:sz w:val="28"/>
                <w:szCs w:val="28"/>
                <w:highlight w:val="yellow"/>
              </w:rPr>
              <w:t>市市场监督管理局</w:t>
            </w:r>
            <w:r w:rsidRPr="00E06413">
              <w:rPr>
                <w:rFonts w:ascii="仿宋_GB2312" w:eastAsia="仿宋_GB2312" w:hAnsi="宋体" w:cs="仿宋_GB2312" w:hint="eastAsia"/>
                <w:color w:val="FF0000"/>
                <w:kern w:val="0"/>
                <w:sz w:val="28"/>
                <w:szCs w:val="28"/>
                <w:highlight w:val="yellow"/>
              </w:rPr>
              <w:br/>
            </w:r>
            <w:r>
              <w:rPr>
                <w:rFonts w:ascii="仿宋_GB2312" w:eastAsia="仿宋_GB2312" w:hAnsi="宋体" w:cs="仿宋_GB2312" w:hint="eastAsia"/>
                <w:color w:val="000000"/>
                <w:kern w:val="0"/>
                <w:sz w:val="28"/>
                <w:szCs w:val="28"/>
              </w:rPr>
              <w:t>各县（市、区）政府</w:t>
            </w:r>
            <w:r>
              <w:rPr>
                <w:rFonts w:ascii="仿宋_GB2312" w:eastAsia="仿宋_GB2312" w:hAnsi="宋体" w:cs="仿宋_GB2312" w:hint="eastAsia"/>
                <w:color w:val="000000"/>
                <w:kern w:val="0"/>
                <w:sz w:val="28"/>
                <w:szCs w:val="28"/>
              </w:rPr>
              <w:br/>
              <w:t>示范区管委会</w:t>
            </w:r>
          </w:p>
        </w:tc>
        <w:tc>
          <w:tcPr>
            <w:tcW w:w="2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7477" w:rsidRDefault="002C24C5" w:rsidP="002C24C5">
            <w:pPr>
              <w:widowControl/>
              <w:spacing w:line="360" w:lineRule="exact"/>
              <w:textAlignment w:val="center"/>
              <w:rPr>
                <w:rFonts w:ascii="仿宋_GB2312" w:eastAsia="仿宋_GB2312" w:hAnsi="宋体" w:cs="仿宋_GB2312"/>
                <w:color w:val="000000"/>
                <w:sz w:val="28"/>
                <w:szCs w:val="28"/>
              </w:rPr>
            </w:pPr>
            <w:r>
              <w:rPr>
                <w:rFonts w:ascii="仿宋_GB2312" w:hAnsi="宋体" w:cs="仿宋_GB2312" w:hint="eastAsia"/>
                <w:kern w:val="0"/>
                <w:szCs w:val="32"/>
              </w:rPr>
              <w:t>截至</w:t>
            </w:r>
            <w:r>
              <w:rPr>
                <w:rFonts w:ascii="仿宋_GB2312" w:hAnsi="宋体" w:cs="仿宋_GB2312" w:hint="eastAsia"/>
                <w:kern w:val="0"/>
                <w:szCs w:val="32"/>
              </w:rPr>
              <w:t>12</w:t>
            </w:r>
            <w:r>
              <w:rPr>
                <w:rFonts w:ascii="仿宋_GB2312" w:hAnsi="宋体" w:cs="仿宋_GB2312" w:hint="eastAsia"/>
                <w:kern w:val="0"/>
                <w:szCs w:val="32"/>
              </w:rPr>
              <w:t>月底，</w:t>
            </w:r>
            <w:r w:rsidRPr="002C24C5">
              <w:rPr>
                <w:rFonts w:ascii="仿宋_GB2312" w:hAnsi="宋体" w:cs="仿宋_GB2312" w:hint="eastAsia"/>
                <w:kern w:val="0"/>
                <w:szCs w:val="32"/>
              </w:rPr>
              <w:t>共办理食品、药品、医疗器械行政审批</w:t>
            </w:r>
            <w:r w:rsidRPr="002C24C5">
              <w:rPr>
                <w:rFonts w:ascii="仿宋_GB2312" w:hAnsi="宋体" w:cs="仿宋_GB2312"/>
                <w:kern w:val="0"/>
                <w:szCs w:val="32"/>
              </w:rPr>
              <w:t>件</w:t>
            </w:r>
            <w:r w:rsidRPr="002C24C5">
              <w:rPr>
                <w:rFonts w:ascii="仿宋_GB2312" w:hAnsi="宋体" w:cs="仿宋_GB2312"/>
                <w:kern w:val="0"/>
                <w:szCs w:val="32"/>
              </w:rPr>
              <w:t>1030</w:t>
            </w:r>
            <w:r w:rsidRPr="002C24C5">
              <w:rPr>
                <w:rFonts w:ascii="仿宋_GB2312" w:hAnsi="宋体" w:cs="仿宋_GB2312"/>
                <w:kern w:val="0"/>
                <w:szCs w:val="32"/>
              </w:rPr>
              <w:t>件</w:t>
            </w:r>
            <w:r w:rsidRPr="002C24C5">
              <w:rPr>
                <w:rFonts w:ascii="仿宋_GB2312" w:hAnsi="宋体" w:cs="仿宋_GB2312" w:hint="eastAsia"/>
                <w:kern w:val="0"/>
                <w:szCs w:val="32"/>
              </w:rPr>
              <w:t>。</w:t>
            </w:r>
            <w:r>
              <w:rPr>
                <w:rFonts w:ascii="仿宋_GB2312" w:hAnsi="宋体" w:cs="仿宋_GB2312" w:hint="eastAsia"/>
                <w:kern w:val="0"/>
                <w:szCs w:val="32"/>
              </w:rPr>
              <w:t>全市共检查食品生产经营单位</w:t>
            </w:r>
            <w:r>
              <w:rPr>
                <w:rFonts w:ascii="仿宋_GB2312" w:hAnsi="宋体" w:cs="仿宋_GB2312" w:hint="eastAsia"/>
                <w:kern w:val="0"/>
                <w:szCs w:val="32"/>
              </w:rPr>
              <w:t>38920</w:t>
            </w:r>
            <w:r>
              <w:rPr>
                <w:rFonts w:ascii="仿宋_GB2312" w:hAnsi="宋体" w:cs="仿宋_GB2312" w:hint="eastAsia"/>
                <w:kern w:val="0"/>
                <w:szCs w:val="32"/>
              </w:rPr>
              <w:t>家次，排查整改问题</w:t>
            </w:r>
            <w:r>
              <w:rPr>
                <w:rFonts w:ascii="仿宋_GB2312" w:hAnsi="宋体" w:cs="仿宋_GB2312" w:hint="eastAsia"/>
                <w:kern w:val="0"/>
                <w:szCs w:val="32"/>
              </w:rPr>
              <w:t>12418</w:t>
            </w:r>
            <w:r>
              <w:rPr>
                <w:rFonts w:ascii="仿宋_GB2312" w:hAnsi="宋体" w:cs="仿宋_GB2312" w:hint="eastAsia"/>
                <w:kern w:val="0"/>
                <w:szCs w:val="32"/>
              </w:rPr>
              <w:t>个，</w:t>
            </w:r>
            <w:r w:rsidRPr="002C24C5">
              <w:rPr>
                <w:rFonts w:ascii="仿宋_GB2312" w:hAnsi="宋体" w:cs="仿宋_GB2312" w:hint="eastAsia"/>
                <w:kern w:val="0"/>
                <w:szCs w:val="32"/>
              </w:rPr>
              <w:t>完成食品安全监督抽样检验</w:t>
            </w:r>
            <w:r w:rsidRPr="002C24C5">
              <w:rPr>
                <w:rFonts w:ascii="仿宋_GB2312" w:hAnsi="宋体" w:cs="仿宋_GB2312" w:hint="eastAsia"/>
                <w:kern w:val="0"/>
                <w:szCs w:val="32"/>
              </w:rPr>
              <w:t>12812</w:t>
            </w:r>
            <w:r w:rsidRPr="002C24C5">
              <w:rPr>
                <w:rFonts w:ascii="仿宋_GB2312" w:hAnsi="宋体" w:cs="仿宋_GB2312" w:hint="eastAsia"/>
                <w:kern w:val="0"/>
                <w:szCs w:val="32"/>
              </w:rPr>
              <w:t>批次。</w:t>
            </w:r>
            <w:r>
              <w:rPr>
                <w:rFonts w:ascii="仿宋_GB2312" w:hAnsi="宋体" w:cs="仿宋_GB2312" w:hint="eastAsia"/>
                <w:kern w:val="0"/>
                <w:szCs w:val="32"/>
              </w:rPr>
              <w:t>《焦作市深化食品安全放心工程建设攻坚行动工作方案（</w:t>
            </w:r>
            <w:r>
              <w:rPr>
                <w:rFonts w:ascii="仿宋_GB2312" w:hAnsi="宋体" w:cs="仿宋_GB2312" w:hint="eastAsia"/>
                <w:kern w:val="0"/>
                <w:szCs w:val="32"/>
              </w:rPr>
              <w:t>2022-2024</w:t>
            </w:r>
            <w:r>
              <w:rPr>
                <w:rFonts w:ascii="仿宋_GB2312" w:hAnsi="宋体" w:cs="仿宋_GB2312" w:hint="eastAsia"/>
                <w:kern w:val="0"/>
                <w:szCs w:val="32"/>
              </w:rPr>
              <w:t>年）》已经市政府常务会研究通过。全市食品销售经营者</w:t>
            </w:r>
            <w:r>
              <w:rPr>
                <w:rFonts w:ascii="仿宋_GB2312" w:hAnsi="宋体" w:cs="仿宋_GB2312" w:hint="eastAsia"/>
                <w:kern w:val="0"/>
                <w:szCs w:val="32"/>
              </w:rPr>
              <w:t>23216</w:t>
            </w:r>
            <w:r>
              <w:rPr>
                <w:rFonts w:ascii="仿宋_GB2312" w:hAnsi="宋体" w:cs="仿宋_GB2312" w:hint="eastAsia"/>
                <w:kern w:val="0"/>
                <w:szCs w:val="32"/>
              </w:rPr>
              <w:t>家，动态分级管理家数</w:t>
            </w:r>
            <w:r>
              <w:rPr>
                <w:rFonts w:ascii="仿宋_GB2312" w:hAnsi="宋体" w:cs="仿宋_GB2312" w:hint="eastAsia"/>
                <w:kern w:val="0"/>
                <w:szCs w:val="32"/>
              </w:rPr>
              <w:t>20452</w:t>
            </w:r>
            <w:r>
              <w:rPr>
                <w:rFonts w:ascii="仿宋_GB2312" w:hAnsi="宋体" w:cs="仿宋_GB2312" w:hint="eastAsia"/>
                <w:kern w:val="0"/>
                <w:szCs w:val="32"/>
              </w:rPr>
              <w:t>家，覆盖率达</w:t>
            </w:r>
            <w:r>
              <w:rPr>
                <w:rFonts w:ascii="仿宋_GB2312" w:hAnsi="宋体" w:cs="仿宋_GB2312" w:hint="eastAsia"/>
                <w:kern w:val="0"/>
                <w:szCs w:val="32"/>
              </w:rPr>
              <w:t>100%</w:t>
            </w:r>
            <w:r>
              <w:rPr>
                <w:rFonts w:ascii="仿宋_GB2312" w:hAnsi="宋体" w:cs="仿宋_GB2312" w:hint="eastAsia"/>
                <w:kern w:val="0"/>
                <w:szCs w:val="32"/>
              </w:rPr>
              <w:t>。组织开展“药品经营和使用环节”、“疫苗流通使用环节”、“含麻精药品复方制剂”等</w:t>
            </w:r>
            <w:r w:rsidRPr="002C24C5">
              <w:rPr>
                <w:rFonts w:ascii="仿宋_GB2312" w:hAnsi="宋体" w:cs="仿宋_GB2312" w:hint="eastAsia"/>
                <w:kern w:val="0"/>
                <w:szCs w:val="32"/>
              </w:rPr>
              <w:t>12</w:t>
            </w:r>
            <w:r w:rsidRPr="002C24C5">
              <w:rPr>
                <w:rFonts w:ascii="仿宋_GB2312" w:hAnsi="宋体" w:cs="仿宋_GB2312" w:hint="eastAsia"/>
                <w:kern w:val="0"/>
                <w:szCs w:val="32"/>
              </w:rPr>
              <w:t>个</w:t>
            </w:r>
            <w:r>
              <w:rPr>
                <w:rFonts w:ascii="仿宋_GB2312" w:hAnsi="宋体" w:cs="仿宋_GB2312" w:hint="eastAsia"/>
                <w:kern w:val="0"/>
                <w:szCs w:val="32"/>
              </w:rPr>
              <w:t>专项检查，</w:t>
            </w:r>
            <w:r w:rsidRPr="002C24C5">
              <w:rPr>
                <w:rFonts w:ascii="仿宋_GB2312" w:hAnsi="宋体" w:cs="仿宋_GB2312" w:hint="eastAsia"/>
                <w:kern w:val="0"/>
                <w:szCs w:val="32"/>
              </w:rPr>
              <w:t>检查“两品一械”经营使用单位</w:t>
            </w:r>
            <w:r w:rsidRPr="002C24C5">
              <w:rPr>
                <w:rFonts w:ascii="仿宋_GB2312" w:hAnsi="宋体" w:cs="仿宋_GB2312" w:hint="eastAsia"/>
                <w:kern w:val="0"/>
                <w:szCs w:val="32"/>
              </w:rPr>
              <w:t>12074</w:t>
            </w:r>
            <w:r w:rsidRPr="002C24C5">
              <w:rPr>
                <w:rFonts w:ascii="仿宋_GB2312" w:hAnsi="宋体" w:cs="仿宋_GB2312" w:hint="eastAsia"/>
                <w:kern w:val="0"/>
                <w:szCs w:val="32"/>
              </w:rPr>
              <w:t>家次，立案</w:t>
            </w:r>
            <w:r w:rsidRPr="002C24C5">
              <w:rPr>
                <w:rFonts w:ascii="仿宋_GB2312" w:hAnsi="宋体" w:cs="仿宋_GB2312" w:hint="eastAsia"/>
                <w:kern w:val="0"/>
                <w:szCs w:val="32"/>
              </w:rPr>
              <w:t>106</w:t>
            </w:r>
            <w:r w:rsidRPr="002C24C5">
              <w:rPr>
                <w:rFonts w:ascii="仿宋_GB2312" w:hAnsi="宋体" w:cs="仿宋_GB2312" w:hint="eastAsia"/>
                <w:kern w:val="0"/>
                <w:szCs w:val="32"/>
              </w:rPr>
              <w:t>起，罚没</w:t>
            </w:r>
            <w:r w:rsidRPr="002C24C5">
              <w:rPr>
                <w:rFonts w:ascii="仿宋_GB2312" w:hAnsi="宋体" w:cs="仿宋_GB2312" w:hint="eastAsia"/>
                <w:kern w:val="0"/>
                <w:szCs w:val="32"/>
              </w:rPr>
              <w:t>106.91</w:t>
            </w:r>
            <w:r w:rsidRPr="002C24C5">
              <w:rPr>
                <w:rFonts w:ascii="仿宋_GB2312" w:hAnsi="宋体" w:cs="仿宋_GB2312" w:hint="eastAsia"/>
                <w:kern w:val="0"/>
                <w:szCs w:val="32"/>
              </w:rPr>
              <w:t>万元。</w:t>
            </w:r>
            <w:r>
              <w:rPr>
                <w:rFonts w:ascii="仿宋_GB2312" w:hAnsi="宋体" w:cs="仿宋_GB2312" w:hint="eastAsia"/>
                <w:kern w:val="0"/>
                <w:szCs w:val="32"/>
              </w:rPr>
              <w:t>完成省级药品监督抽检</w:t>
            </w:r>
            <w:r>
              <w:rPr>
                <w:rFonts w:ascii="仿宋_GB2312" w:hAnsi="宋体" w:cs="仿宋_GB2312" w:hint="eastAsia"/>
                <w:kern w:val="0"/>
                <w:szCs w:val="32"/>
              </w:rPr>
              <w:t>359</w:t>
            </w:r>
            <w:r>
              <w:rPr>
                <w:rFonts w:ascii="仿宋_GB2312" w:hAnsi="宋体" w:cs="仿宋_GB2312" w:hint="eastAsia"/>
                <w:kern w:val="0"/>
                <w:szCs w:val="32"/>
              </w:rPr>
              <w:t>批，市级药品监督抽检</w:t>
            </w:r>
            <w:r>
              <w:rPr>
                <w:rFonts w:ascii="仿宋_GB2312" w:hAnsi="宋体" w:cs="仿宋_GB2312" w:hint="eastAsia"/>
                <w:kern w:val="0"/>
                <w:szCs w:val="32"/>
              </w:rPr>
              <w:t>30</w:t>
            </w:r>
            <w:r>
              <w:rPr>
                <w:rFonts w:ascii="仿宋_GB2312" w:hAnsi="宋体" w:cs="仿宋_GB2312" w:hint="eastAsia"/>
                <w:kern w:val="0"/>
                <w:szCs w:val="32"/>
              </w:rPr>
              <w:t>批</w:t>
            </w:r>
            <w:r>
              <w:rPr>
                <w:rFonts w:ascii="仿宋_GB2312" w:hAnsi="宋体" w:cs="仿宋_GB2312" w:hint="eastAsia"/>
                <w:kern w:val="0"/>
                <w:szCs w:val="32"/>
              </w:rPr>
              <w:t>,</w:t>
            </w:r>
            <w:r>
              <w:rPr>
                <w:rFonts w:ascii="仿宋_GB2312" w:hAnsi="宋体" w:cs="仿宋_GB2312" w:hint="eastAsia"/>
                <w:kern w:val="0"/>
                <w:szCs w:val="32"/>
              </w:rPr>
              <w:t>省级医疗器械监督抽检</w:t>
            </w:r>
            <w:r>
              <w:rPr>
                <w:rFonts w:ascii="仿宋_GB2312" w:hAnsi="宋体" w:cs="仿宋_GB2312" w:hint="eastAsia"/>
                <w:kern w:val="0"/>
                <w:szCs w:val="32"/>
              </w:rPr>
              <w:t>40</w:t>
            </w:r>
            <w:r>
              <w:rPr>
                <w:rFonts w:ascii="仿宋_GB2312" w:hAnsi="宋体" w:cs="仿宋_GB2312" w:hint="eastAsia"/>
                <w:kern w:val="0"/>
                <w:szCs w:val="32"/>
              </w:rPr>
              <w:t>批次，市级</w:t>
            </w:r>
            <w:r>
              <w:rPr>
                <w:rFonts w:ascii="仿宋_GB2312" w:hAnsi="宋体" w:cs="仿宋_GB2312" w:hint="eastAsia"/>
                <w:kern w:val="0"/>
                <w:szCs w:val="32"/>
              </w:rPr>
              <w:t>8</w:t>
            </w:r>
            <w:r>
              <w:rPr>
                <w:rFonts w:ascii="仿宋_GB2312" w:hAnsi="宋体" w:cs="仿宋_GB2312" w:hint="eastAsia"/>
                <w:kern w:val="0"/>
                <w:szCs w:val="32"/>
              </w:rPr>
              <w:t>批次。</w:t>
            </w:r>
            <w:r w:rsidR="00656F22" w:rsidRPr="002C24C5">
              <w:rPr>
                <w:rFonts w:ascii="仿宋_GB2312" w:hAnsi="宋体" w:cs="仿宋_GB2312" w:hint="eastAsia"/>
                <w:kern w:val="0"/>
                <w:szCs w:val="32"/>
              </w:rPr>
              <w:t>37</w:t>
            </w:r>
            <w:r w:rsidR="00867477" w:rsidRPr="002C24C5">
              <w:rPr>
                <w:rFonts w:ascii="仿宋_GB2312" w:hAnsi="宋体" w:cs="仿宋_GB2312" w:hint="eastAsia"/>
                <w:kern w:val="0"/>
                <w:szCs w:val="32"/>
              </w:rPr>
              <w:t>家。</w:t>
            </w:r>
          </w:p>
        </w:tc>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67477" w:rsidRDefault="00860A63" w:rsidP="00614BA9">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持续</w:t>
            </w:r>
            <w:r w:rsidR="00867477">
              <w:rPr>
                <w:rFonts w:ascii="仿宋_GB2312" w:eastAsia="仿宋_GB2312" w:hAnsi="宋体" w:cs="仿宋_GB2312" w:hint="eastAsia"/>
                <w:color w:val="000000"/>
                <w:kern w:val="0"/>
                <w:sz w:val="28"/>
                <w:szCs w:val="28"/>
              </w:rPr>
              <w:t>推进</w:t>
            </w:r>
          </w:p>
        </w:tc>
      </w:tr>
    </w:tbl>
    <w:p w:rsidR="00C07037" w:rsidRDefault="00C07037">
      <w:pPr>
        <w:spacing w:line="20" w:lineRule="exact"/>
      </w:pPr>
    </w:p>
    <w:sectPr w:rsidR="00C07037" w:rsidSect="00A44B65">
      <w:pgSz w:w="16838" w:h="11906" w:orient="landscape"/>
      <w:pgMar w:top="1361" w:right="1134" w:bottom="136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36E" w:rsidRDefault="00DE136E" w:rsidP="00B13C75">
      <w:r>
        <w:separator/>
      </w:r>
    </w:p>
  </w:endnote>
  <w:endnote w:type="continuationSeparator" w:id="0">
    <w:p w:rsidR="00DE136E" w:rsidRDefault="00DE136E" w:rsidP="00B13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36E" w:rsidRDefault="00DE136E" w:rsidP="00B13C75">
      <w:r>
        <w:separator/>
      </w:r>
    </w:p>
  </w:footnote>
  <w:footnote w:type="continuationSeparator" w:id="0">
    <w:p w:rsidR="00DE136E" w:rsidRDefault="00DE136E" w:rsidP="00B13C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QwMzRiNDJmNmVlNDJlOTQ2YTUyN2QwM2VlNWMyYzgifQ=="/>
  </w:docVars>
  <w:rsids>
    <w:rsidRoot w:val="24175C0E"/>
    <w:rsid w:val="FEEFFE4C"/>
    <w:rsid w:val="0001178E"/>
    <w:rsid w:val="00024E25"/>
    <w:rsid w:val="000310E1"/>
    <w:rsid w:val="0007686A"/>
    <w:rsid w:val="000913DD"/>
    <w:rsid w:val="001C08CD"/>
    <w:rsid w:val="00201CC4"/>
    <w:rsid w:val="00261680"/>
    <w:rsid w:val="002C24C5"/>
    <w:rsid w:val="002F4C29"/>
    <w:rsid w:val="003700D1"/>
    <w:rsid w:val="00376540"/>
    <w:rsid w:val="003B5DD3"/>
    <w:rsid w:val="003B712B"/>
    <w:rsid w:val="004045CF"/>
    <w:rsid w:val="0042273C"/>
    <w:rsid w:val="00632EFA"/>
    <w:rsid w:val="00656F22"/>
    <w:rsid w:val="00663C6D"/>
    <w:rsid w:val="00727C5D"/>
    <w:rsid w:val="00742282"/>
    <w:rsid w:val="00746C76"/>
    <w:rsid w:val="007705D1"/>
    <w:rsid w:val="007E34A6"/>
    <w:rsid w:val="008143AC"/>
    <w:rsid w:val="00854B2F"/>
    <w:rsid w:val="0085584E"/>
    <w:rsid w:val="00860A63"/>
    <w:rsid w:val="00867477"/>
    <w:rsid w:val="008D2D8C"/>
    <w:rsid w:val="00A062FA"/>
    <w:rsid w:val="00A44B65"/>
    <w:rsid w:val="00AE78B2"/>
    <w:rsid w:val="00B12BB4"/>
    <w:rsid w:val="00B13C75"/>
    <w:rsid w:val="00B216DB"/>
    <w:rsid w:val="00C07037"/>
    <w:rsid w:val="00C25F0D"/>
    <w:rsid w:val="00C57E14"/>
    <w:rsid w:val="00C74F43"/>
    <w:rsid w:val="00CD502A"/>
    <w:rsid w:val="00D23C48"/>
    <w:rsid w:val="00D548D2"/>
    <w:rsid w:val="00D92979"/>
    <w:rsid w:val="00DC280F"/>
    <w:rsid w:val="00DE136E"/>
    <w:rsid w:val="00DF72B9"/>
    <w:rsid w:val="00E06413"/>
    <w:rsid w:val="00E835F7"/>
    <w:rsid w:val="00E96A02"/>
    <w:rsid w:val="00EF3460"/>
    <w:rsid w:val="045475E0"/>
    <w:rsid w:val="22965A26"/>
    <w:rsid w:val="24175C0E"/>
    <w:rsid w:val="24E6204A"/>
    <w:rsid w:val="28BC2953"/>
    <w:rsid w:val="29183639"/>
    <w:rsid w:val="3A713D40"/>
    <w:rsid w:val="413D1A37"/>
    <w:rsid w:val="442F13DF"/>
    <w:rsid w:val="44E01D4A"/>
    <w:rsid w:val="474358CD"/>
    <w:rsid w:val="4C8761A0"/>
    <w:rsid w:val="4EB344D0"/>
    <w:rsid w:val="5DD37888"/>
    <w:rsid w:val="5FF4671A"/>
    <w:rsid w:val="63A800B9"/>
    <w:rsid w:val="6A025EBD"/>
    <w:rsid w:val="7747C8BF"/>
    <w:rsid w:val="788B59F2"/>
    <w:rsid w:val="7D1F17C6"/>
    <w:rsid w:val="7EB61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03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qFormat/>
    <w:rsid w:val="00C07037"/>
    <w:rPr>
      <w:rFonts w:ascii="仿宋_GB2312" w:eastAsia="仿宋_GB2312" w:cs="仿宋_GB2312" w:hint="eastAsia"/>
      <w:color w:val="000000"/>
      <w:sz w:val="28"/>
      <w:szCs w:val="28"/>
      <w:u w:val="none"/>
    </w:rPr>
  </w:style>
  <w:style w:type="character" w:customStyle="1" w:styleId="font91">
    <w:name w:val="font91"/>
    <w:basedOn w:val="a0"/>
    <w:qFormat/>
    <w:rsid w:val="00C07037"/>
    <w:rPr>
      <w:rFonts w:ascii="仿宋_GB2312" w:eastAsia="仿宋_GB2312" w:cs="仿宋_GB2312" w:hint="eastAsia"/>
      <w:b/>
      <w:bCs/>
      <w:color w:val="000000"/>
      <w:sz w:val="28"/>
      <w:szCs w:val="28"/>
      <w:u w:val="none"/>
    </w:rPr>
  </w:style>
  <w:style w:type="character" w:customStyle="1" w:styleId="font41">
    <w:name w:val="font41"/>
    <w:basedOn w:val="a0"/>
    <w:qFormat/>
    <w:rsid w:val="00C07037"/>
    <w:rPr>
      <w:rFonts w:ascii="仿宋_GB2312" w:eastAsia="仿宋_GB2312" w:cs="仿宋_GB2312" w:hint="eastAsia"/>
      <w:color w:val="000000"/>
      <w:sz w:val="32"/>
      <w:szCs w:val="32"/>
      <w:u w:val="none"/>
    </w:rPr>
  </w:style>
  <w:style w:type="character" w:customStyle="1" w:styleId="font101">
    <w:name w:val="font101"/>
    <w:basedOn w:val="a0"/>
    <w:qFormat/>
    <w:rsid w:val="00C07037"/>
    <w:rPr>
      <w:rFonts w:ascii="仿宋_GB2312" w:eastAsia="仿宋_GB2312" w:cs="仿宋_GB2312" w:hint="eastAsia"/>
      <w:b/>
      <w:bCs/>
      <w:color w:val="000000"/>
      <w:sz w:val="32"/>
      <w:szCs w:val="32"/>
      <w:u w:val="none"/>
    </w:rPr>
  </w:style>
  <w:style w:type="character" w:customStyle="1" w:styleId="font61">
    <w:name w:val="font61"/>
    <w:basedOn w:val="a0"/>
    <w:qFormat/>
    <w:rsid w:val="00C07037"/>
    <w:rPr>
      <w:rFonts w:ascii="仿宋_GB2312" w:eastAsia="仿宋_GB2312" w:cs="仿宋_GB2312" w:hint="eastAsia"/>
      <w:color w:val="000000"/>
      <w:sz w:val="22"/>
      <w:szCs w:val="22"/>
      <w:u w:val="none"/>
    </w:rPr>
  </w:style>
  <w:style w:type="character" w:customStyle="1" w:styleId="font71">
    <w:name w:val="font71"/>
    <w:basedOn w:val="a0"/>
    <w:qFormat/>
    <w:rsid w:val="00C07037"/>
    <w:rPr>
      <w:rFonts w:ascii="仿宋_GB2312" w:eastAsia="仿宋_GB2312" w:cs="仿宋_GB2312" w:hint="eastAsia"/>
      <w:color w:val="000000"/>
      <w:sz w:val="24"/>
      <w:szCs w:val="24"/>
      <w:u w:val="none"/>
    </w:rPr>
  </w:style>
  <w:style w:type="character" w:customStyle="1" w:styleId="font112">
    <w:name w:val="font112"/>
    <w:basedOn w:val="a0"/>
    <w:qFormat/>
    <w:rsid w:val="00C07037"/>
    <w:rPr>
      <w:rFonts w:ascii="宋体" w:eastAsia="宋体" w:hAnsi="宋体" w:cs="宋体" w:hint="eastAsia"/>
      <w:color w:val="000000"/>
      <w:sz w:val="28"/>
      <w:szCs w:val="28"/>
      <w:u w:val="none"/>
    </w:rPr>
  </w:style>
  <w:style w:type="paragraph" w:styleId="a3">
    <w:name w:val="header"/>
    <w:basedOn w:val="a"/>
    <w:link w:val="Char"/>
    <w:unhideWhenUsed/>
    <w:rsid w:val="00B13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13C75"/>
    <w:rPr>
      <w:rFonts w:asciiTheme="minorHAnsi" w:eastAsiaTheme="minorEastAsia" w:hAnsiTheme="minorHAnsi" w:cstheme="minorBidi"/>
      <w:kern w:val="2"/>
      <w:sz w:val="18"/>
      <w:szCs w:val="18"/>
    </w:rPr>
  </w:style>
  <w:style w:type="paragraph" w:styleId="a4">
    <w:name w:val="footer"/>
    <w:basedOn w:val="a"/>
    <w:link w:val="Char0"/>
    <w:unhideWhenUsed/>
    <w:rsid w:val="00B13C75"/>
    <w:pPr>
      <w:tabs>
        <w:tab w:val="center" w:pos="4153"/>
        <w:tab w:val="right" w:pos="8306"/>
      </w:tabs>
      <w:snapToGrid w:val="0"/>
      <w:jc w:val="left"/>
    </w:pPr>
    <w:rPr>
      <w:sz w:val="18"/>
      <w:szCs w:val="18"/>
    </w:rPr>
  </w:style>
  <w:style w:type="character" w:customStyle="1" w:styleId="Char0">
    <w:name w:val="页脚 Char"/>
    <w:basedOn w:val="a0"/>
    <w:link w:val="a4"/>
    <w:rsid w:val="00B13C7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cp:lastPrinted>2022-09-23T00:54:00Z</cp:lastPrinted>
  <dcterms:created xsi:type="dcterms:W3CDTF">2023-01-13T06:37:00Z</dcterms:created>
  <dcterms:modified xsi:type="dcterms:W3CDTF">2023-01-13T06:40:00Z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CE85EFF8EE774FB89543266F39F5A3B8</vt:lpwstr>
  </property>
</Properties>
</file>