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塑料一次性餐具</w:t>
      </w:r>
      <w:r>
        <w:rPr>
          <w:rFonts w:hint="eastAsia" w:ascii="仿宋" w:hAnsi="仿宋" w:eastAsia="仿宋" w:cs="仿宋"/>
          <w:b/>
          <w:bCs/>
          <w:color w:val="000000"/>
          <w:sz w:val="24"/>
          <w:szCs w:val="24"/>
          <w:highlight w:val="none"/>
        </w:rPr>
        <w:t>产品质量监督抽查实施细则</w:t>
      </w: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本细则适用市场监督管理局组织的一次性塑料餐具产品质量监督抽查。本细则规定了此产品的抽样方法、检验依据、检验项目、检验方法、判定原则等。</w:t>
      </w:r>
    </w:p>
    <w:p>
      <w:pPr>
        <w:adjustRightInd w:val="0"/>
        <w:snapToGrid w:val="0"/>
        <w:spacing w:before="149" w:beforeLines="50"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抽样方法</w:t>
      </w:r>
    </w:p>
    <w:p>
      <w:pPr>
        <w:spacing w:line="5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根据抽样领域不同，分为现场抽样和网络抽样。</w:t>
      </w:r>
    </w:p>
    <w:p>
      <w:pPr>
        <w:spacing w:line="5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eastAsia="zh-CN"/>
        </w:rPr>
        <w:t>现场抽样</w:t>
      </w: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以随机抽样方式在被抽样生产者、销售者的待销产品中抽取。</w:t>
      </w:r>
    </w:p>
    <w:p>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随机数一般可使用随机数表、随机数骰子或扑克牌等方法产生。</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1.2网络抽样</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对电子商务经营者销售的本行政区域内的生产这生产的产品和本行政区域内的电子商务经营者销售的产品进行抽样时，可以以消费者的名义买样。</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进行网络抽样，应当记录抽样人员以及付款账户、注册账号、收货地址、联系方式等信息。抽样人员应当通过截图、拍照或者录像的方式记录被抽样销售者信息、样品网页展示信息，以及订单信息、支付记录等。</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抽样人员购买的样品应当包括检验样品和备用样品。</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抽样人员收到样品后，应当通过拍照或者录像的方式记录拆封过程，对寄递包装、样品包装、样品标识、样品寄递情形等进行查验，对检验样品和备用样品分别封样，并将检验样品和备用样品携带或者寄递至检验机构进行检验。</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抽样人员应当根据样品情况填写抽样文书。抽样文书经抽样人员签字并加盖抽样单位公章后，与监督抽查通知书一并寄送被抽样销售者。抽样机构执行买样任务的，还应当寄送组织监督抽查的市场监督管理部门出具的授权委托书复印件。</w:t>
      </w:r>
    </w:p>
    <w:p>
      <w:pPr>
        <w:spacing w:line="5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具体抽样数量见表1</w:t>
      </w:r>
    </w:p>
    <w:p>
      <w:pPr>
        <w:pStyle w:val="10"/>
        <w:widowControl w:val="0"/>
        <w:spacing w:before="149" w:beforeLines="50" w:after="149" w:afterLines="50" w:line="560" w:lineRule="exact"/>
        <w:ind w:firstLine="198"/>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表1 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066"/>
        <w:gridCol w:w="2176"/>
        <w:gridCol w:w="3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06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明示标准</w:t>
            </w:r>
          </w:p>
        </w:tc>
        <w:tc>
          <w:tcPr>
            <w:tcW w:w="2176"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产品名称</w:t>
            </w:r>
          </w:p>
        </w:tc>
        <w:tc>
          <w:tcPr>
            <w:tcW w:w="3138"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206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GB/T</w:t>
            </w:r>
            <w:r>
              <w:rPr>
                <w:rFonts w:hint="eastAsia" w:ascii="仿宋" w:hAnsi="仿宋" w:eastAsia="仿宋" w:cs="仿宋"/>
                <w:color w:val="auto"/>
                <w:sz w:val="24"/>
                <w:szCs w:val="24"/>
                <w:highlight w:val="none"/>
                <w:lang w:val="en-US" w:eastAsia="zh-CN"/>
              </w:rPr>
              <w:t>18006.1-2009</w:t>
            </w:r>
          </w:p>
        </w:tc>
        <w:tc>
          <w:tcPr>
            <w:tcW w:w="2176"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次性塑料</w:t>
            </w:r>
            <w:r>
              <w:rPr>
                <w:rFonts w:hint="eastAsia" w:ascii="仿宋" w:hAnsi="仿宋" w:eastAsia="仿宋" w:cs="仿宋"/>
                <w:color w:val="auto"/>
                <w:sz w:val="24"/>
                <w:szCs w:val="24"/>
                <w:highlight w:val="none"/>
                <w:lang w:eastAsia="zh-CN"/>
              </w:rPr>
              <w:t>餐</w:t>
            </w:r>
            <w:r>
              <w:rPr>
                <w:rFonts w:hint="eastAsia" w:ascii="仿宋" w:hAnsi="仿宋" w:eastAsia="仿宋" w:cs="仿宋"/>
                <w:color w:val="auto"/>
                <w:sz w:val="24"/>
                <w:szCs w:val="24"/>
                <w:highlight w:val="none"/>
              </w:rPr>
              <w:t>具</w:t>
            </w:r>
          </w:p>
        </w:tc>
        <w:tc>
          <w:tcPr>
            <w:tcW w:w="3138"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40个×3（每份单独包装）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799" w:type="dxa"/>
            <w:noWrap w:val="0"/>
            <w:vAlign w:val="center"/>
          </w:tcPr>
          <w:p>
            <w:pPr>
              <w:adjustRightInd w:val="0"/>
              <w:snapToGrid w:val="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06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GB/T 24693-2009</w:t>
            </w:r>
          </w:p>
        </w:tc>
        <w:tc>
          <w:tcPr>
            <w:tcW w:w="217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聚丙烯饮用吸管</w:t>
            </w:r>
          </w:p>
        </w:tc>
        <w:tc>
          <w:tcPr>
            <w:tcW w:w="3138"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eastAsia="zh-CN"/>
              </w:rPr>
              <w:t>只</w:t>
            </w:r>
            <w:r>
              <w:rPr>
                <w:rFonts w:hint="eastAsia" w:ascii="仿宋" w:hAnsi="仿宋" w:eastAsia="仿宋" w:cs="仿宋"/>
                <w:color w:val="auto"/>
                <w:sz w:val="24"/>
                <w:szCs w:val="24"/>
                <w:highlight w:val="none"/>
              </w:rPr>
              <w:t>×3（每份单独包装）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9" w:type="dxa"/>
            <w:noWrap w:val="0"/>
            <w:vAlign w:val="center"/>
          </w:tcPr>
          <w:p>
            <w:pPr>
              <w:adjustRightInd w:val="0"/>
              <w:snapToGrid w:val="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06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执行企业标准、团体标准、地方标准</w:t>
            </w:r>
          </w:p>
        </w:tc>
        <w:tc>
          <w:tcPr>
            <w:tcW w:w="2176"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次性塑料</w:t>
            </w:r>
            <w:r>
              <w:rPr>
                <w:rFonts w:hint="eastAsia" w:ascii="仿宋" w:hAnsi="仿宋" w:eastAsia="仿宋" w:cs="仿宋"/>
                <w:color w:val="auto"/>
                <w:sz w:val="24"/>
                <w:szCs w:val="24"/>
                <w:highlight w:val="none"/>
                <w:lang w:eastAsia="zh-CN"/>
              </w:rPr>
              <w:t>餐</w:t>
            </w:r>
            <w:r>
              <w:rPr>
                <w:rFonts w:hint="eastAsia" w:ascii="仿宋" w:hAnsi="仿宋" w:eastAsia="仿宋" w:cs="仿宋"/>
                <w:color w:val="auto"/>
                <w:sz w:val="24"/>
                <w:szCs w:val="24"/>
                <w:highlight w:val="none"/>
              </w:rPr>
              <w:t>具</w:t>
            </w:r>
          </w:p>
        </w:tc>
        <w:tc>
          <w:tcPr>
            <w:tcW w:w="3138" w:type="dxa"/>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40个×3（每份单独包装）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79" w:type="dxa"/>
            <w:gridSpan w:val="4"/>
            <w:noWrap w:val="0"/>
            <w:vAlign w:val="center"/>
          </w:tcPr>
          <w:p>
            <w:pPr>
              <w:adjustRightInd w:val="0"/>
              <w:snapToGrid w:val="0"/>
              <w:jc w:val="both"/>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流通领域抽样：试样大小不一，数量可适当调整，满足检验和备样需要数量即可</w:t>
            </w:r>
          </w:p>
        </w:tc>
      </w:tr>
    </w:tbl>
    <w:p>
      <w:pPr>
        <w:pStyle w:val="11"/>
        <w:adjustRightInd w:val="0"/>
        <w:snapToGrid w:val="0"/>
        <w:ind w:left="479" w:leftChars="228" w:firstLine="240" w:firstLineChars="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eastAsia="zh-CN"/>
        </w:rPr>
        <w:t>执行</w:t>
      </w:r>
      <w:r>
        <w:rPr>
          <w:rFonts w:hint="eastAsia" w:ascii="仿宋" w:hAnsi="仿宋" w:eastAsia="仿宋" w:cs="仿宋"/>
          <w:color w:val="auto"/>
          <w:sz w:val="24"/>
          <w:szCs w:val="24"/>
          <w:highlight w:val="none"/>
        </w:rPr>
        <w:t>GB/T</w:t>
      </w:r>
      <w:r>
        <w:rPr>
          <w:rFonts w:hint="eastAsia" w:ascii="仿宋" w:hAnsi="仿宋" w:eastAsia="仿宋" w:cs="仿宋"/>
          <w:color w:val="auto"/>
          <w:sz w:val="24"/>
          <w:szCs w:val="24"/>
          <w:highlight w:val="none"/>
          <w:lang w:val="en-US" w:eastAsia="zh-CN"/>
        </w:rPr>
        <w:t>18006.1-2009标准的</w:t>
      </w:r>
      <w:r>
        <w:rPr>
          <w:rFonts w:hint="eastAsia" w:ascii="仿宋" w:hAnsi="仿宋" w:eastAsia="仿宋" w:cs="仿宋"/>
          <w:color w:val="auto"/>
          <w:sz w:val="24"/>
          <w:szCs w:val="24"/>
          <w:highlight w:val="none"/>
        </w:rPr>
        <w:t>一次性塑料</w:t>
      </w:r>
      <w:r>
        <w:rPr>
          <w:rFonts w:hint="eastAsia" w:ascii="仿宋" w:hAnsi="仿宋" w:eastAsia="仿宋" w:cs="仿宋"/>
          <w:color w:val="auto"/>
          <w:sz w:val="24"/>
          <w:szCs w:val="24"/>
          <w:highlight w:val="none"/>
          <w:lang w:eastAsia="zh-CN"/>
        </w:rPr>
        <w:t>餐</w:t>
      </w:r>
      <w:r>
        <w:rPr>
          <w:rFonts w:hint="eastAsia" w:ascii="仿宋" w:hAnsi="仿宋" w:eastAsia="仿宋" w:cs="仿宋"/>
          <w:color w:val="auto"/>
          <w:sz w:val="24"/>
          <w:szCs w:val="24"/>
          <w:highlight w:val="none"/>
        </w:rPr>
        <w:t>具产品每种样品抽样数量为120个，样品分三份独立包装，二份样品分别40个/份（其中一份用于微生物检测），一份样品40个（备用样品）。（若最小销售包装不是40个的整数倍，需按采样数折算，保证检样不少于120个，备样不少于40个，避免打开原包装。）</w:t>
      </w:r>
    </w:p>
    <w:p>
      <w:pPr>
        <w:adjustRightInd w:val="0"/>
        <w:snapToGrid w:val="0"/>
        <w:spacing w:before="149" w:beforeLines="50"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检验依据</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表2　塑料一次性餐饮具通用技术要求（GB/T 18006.1-2009）</w:t>
      </w:r>
    </w:p>
    <w:tbl>
      <w:tblPr>
        <w:tblStyle w:val="8"/>
        <w:tblW w:w="4996" w:type="pct"/>
        <w:tblInd w:w="0" w:type="dxa"/>
        <w:tblLayout w:type="autofit"/>
        <w:tblCellMar>
          <w:top w:w="0" w:type="dxa"/>
          <w:left w:w="108" w:type="dxa"/>
          <w:bottom w:w="0" w:type="dxa"/>
          <w:right w:w="108" w:type="dxa"/>
        </w:tblCellMar>
      </w:tblPr>
      <w:tblGrid>
        <w:gridCol w:w="901"/>
        <w:gridCol w:w="4072"/>
        <w:gridCol w:w="3542"/>
      </w:tblGrid>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序号</w:t>
            </w:r>
          </w:p>
        </w:tc>
        <w:tc>
          <w:tcPr>
            <w:tcW w:w="2391" w:type="pct"/>
            <w:tcBorders>
              <w:top w:val="single" w:color="000000" w:sz="4" w:space="0"/>
              <w:left w:val="single" w:color="000000" w:sz="4" w:space="0"/>
              <w:bottom w:val="single" w:color="000000" w:sz="4" w:space="0"/>
            </w:tcBorders>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检验项目</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检验方法</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耐温试验</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GB/T 18006.1-2009</w:t>
            </w:r>
            <w:r>
              <w:rPr>
                <w:rFonts w:hint="eastAsia" w:ascii="仿宋" w:hAnsi="仿宋" w:eastAsia="仿宋" w:cs="仿宋"/>
                <w:color w:val="auto"/>
                <w:kern w:val="2"/>
                <w:sz w:val="24"/>
                <w:szCs w:val="24"/>
                <w:highlight w:val="none"/>
                <w:lang w:val="en-US" w:eastAsia="zh-CN"/>
              </w:rPr>
              <w:t>/6.4</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微波炉高频加热性能</w:t>
            </w:r>
            <w:r>
              <w:rPr>
                <w:rFonts w:hint="eastAsia" w:ascii="仿宋" w:hAnsi="仿宋" w:eastAsia="仿宋" w:cs="仿宋"/>
                <w:color w:val="auto"/>
                <w:kern w:val="2"/>
                <w:sz w:val="24"/>
                <w:szCs w:val="24"/>
                <w:highlight w:val="none"/>
                <w:lang w:val="en-US" w:eastAsia="zh-CN"/>
              </w:rPr>
              <w:t>*</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rPr>
            </w:pPr>
            <w:r>
              <w:rPr>
                <w:rFonts w:hint="eastAsia" w:ascii="仿宋" w:hAnsi="仿宋" w:eastAsia="仿宋" w:cs="仿宋"/>
                <w:color w:val="auto"/>
                <w:kern w:val="2"/>
                <w:sz w:val="24"/>
                <w:szCs w:val="24"/>
                <w:highlight w:val="none"/>
              </w:rPr>
              <w:t>GB/T 18006.1-2009</w:t>
            </w:r>
            <w:r>
              <w:rPr>
                <w:rFonts w:hint="eastAsia" w:ascii="仿宋" w:hAnsi="仿宋" w:eastAsia="仿宋" w:cs="仿宋"/>
                <w:color w:val="auto"/>
                <w:kern w:val="2"/>
                <w:sz w:val="24"/>
                <w:szCs w:val="24"/>
                <w:highlight w:val="none"/>
                <w:lang w:val="en-US" w:eastAsia="zh-CN"/>
              </w:rPr>
              <w:t>/6.9.1</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微波炉耐温性</w:t>
            </w:r>
            <w:r>
              <w:rPr>
                <w:rFonts w:hint="eastAsia" w:ascii="仿宋" w:hAnsi="仿宋" w:eastAsia="仿宋" w:cs="仿宋"/>
                <w:color w:val="auto"/>
                <w:kern w:val="2"/>
                <w:sz w:val="24"/>
                <w:szCs w:val="24"/>
                <w:highlight w:val="none"/>
                <w:lang w:val="en-US" w:eastAsia="zh-CN"/>
              </w:rPr>
              <w:t>*</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rPr>
            </w:pPr>
            <w:r>
              <w:rPr>
                <w:rFonts w:hint="eastAsia" w:ascii="仿宋" w:hAnsi="仿宋" w:eastAsia="仿宋" w:cs="仿宋"/>
                <w:color w:val="auto"/>
                <w:kern w:val="2"/>
                <w:sz w:val="24"/>
                <w:szCs w:val="24"/>
                <w:highlight w:val="none"/>
              </w:rPr>
              <w:t>GB/T 18006.1-2009</w:t>
            </w:r>
            <w:r>
              <w:rPr>
                <w:rFonts w:hint="eastAsia" w:ascii="仿宋" w:hAnsi="仿宋" w:eastAsia="仿宋" w:cs="仿宋"/>
                <w:color w:val="auto"/>
                <w:kern w:val="2"/>
                <w:sz w:val="24"/>
                <w:szCs w:val="24"/>
                <w:highlight w:val="none"/>
                <w:lang w:val="en-US" w:eastAsia="zh-CN"/>
              </w:rPr>
              <w:t>/6.9.2</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感官要求</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4806.7-2016</w:t>
            </w:r>
          </w:p>
        </w:tc>
      </w:tr>
      <w:tr>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浸泡液</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4806.7-2016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总迁移量</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GB 31604.8-20</w:t>
            </w:r>
            <w:r>
              <w:rPr>
                <w:rFonts w:hint="eastAsia" w:ascii="仿宋" w:hAnsi="仿宋" w:eastAsia="仿宋" w:cs="仿宋"/>
                <w:color w:val="auto"/>
                <w:kern w:val="2"/>
                <w:sz w:val="24"/>
                <w:szCs w:val="24"/>
                <w:highlight w:val="none"/>
                <w:lang w:val="en-US" w:eastAsia="zh-CN"/>
              </w:rPr>
              <w:t>21</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高锰酸钾消耗量</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31604.2-2016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重金属</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31604.9-2016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9</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脱色试验</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31604.7-2016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10</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单体及其他起始物</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4806.6-2016</w:t>
            </w:r>
          </w:p>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4806.7-2016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11</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锑（以Sb计）（限PET材质）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GB 31604.41-2016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12</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对苯二甲酸（限PET材质）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 xml:space="preserve">GB 31604.21-2016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13</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乙二醇及二甘醇（限PET材质）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 xml:space="preserve">GB 31604.44-2016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14</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游离酚(蒸馏水)（限PC材质）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GB 31604.46-2016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15</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己内酰胺（限PA材质）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GB 31604.19-2016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16</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氯乙烯（限PVC材质）</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GB 31604.31-2016 </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17</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大肠菌群</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14934-2016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adjustRightInd w:val="0"/>
              <w:snapToGrid w:val="0"/>
              <w:ind w:firstLine="240" w:firstLineChars="1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w:t>
            </w:r>
            <w:r>
              <w:rPr>
                <w:rFonts w:hint="eastAsia" w:ascii="仿宋" w:hAnsi="仿宋" w:eastAsia="仿宋" w:cs="仿宋"/>
                <w:color w:val="auto"/>
                <w:kern w:val="2"/>
                <w:sz w:val="24"/>
                <w:szCs w:val="24"/>
                <w:highlight w:val="none"/>
                <w:lang w:val="en-US" w:eastAsia="zh-CN"/>
              </w:rPr>
              <w:t>8</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致病菌</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14934-2016</w:t>
            </w:r>
          </w:p>
        </w:tc>
      </w:tr>
      <w:tr>
        <w:tblPrEx>
          <w:tblCellMar>
            <w:top w:w="0" w:type="dxa"/>
            <w:left w:w="108" w:type="dxa"/>
            <w:bottom w:w="0" w:type="dxa"/>
            <w:right w:w="108" w:type="dxa"/>
          </w:tblCellMar>
        </w:tblPrEx>
        <w:trPr>
          <w:cantSplit/>
          <w:trHeight w:val="454" w:hRule="atLeast"/>
        </w:trPr>
        <w:tc>
          <w:tcPr>
            <w:tcW w:w="529" w:type="pct"/>
            <w:tcBorders>
              <w:top w:val="single" w:color="000000" w:sz="4" w:space="0"/>
              <w:left w:val="single" w:color="000000" w:sz="4" w:space="0"/>
              <w:bottom w:val="single" w:color="000000" w:sz="4" w:space="0"/>
            </w:tcBorders>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1</w:t>
            </w:r>
            <w:r>
              <w:rPr>
                <w:rFonts w:hint="eastAsia" w:ascii="仿宋" w:hAnsi="仿宋" w:eastAsia="仿宋" w:cs="仿宋"/>
                <w:color w:val="auto"/>
                <w:kern w:val="2"/>
                <w:sz w:val="24"/>
                <w:szCs w:val="24"/>
                <w:highlight w:val="none"/>
                <w:lang w:val="en-US" w:eastAsia="zh-CN"/>
              </w:rPr>
              <w:t>9</w:t>
            </w:r>
          </w:p>
        </w:tc>
        <w:tc>
          <w:tcPr>
            <w:tcW w:w="2391" w:type="pct"/>
            <w:tcBorders>
              <w:top w:val="single" w:color="000000" w:sz="4" w:space="0"/>
              <w:left w:val="single" w:color="000000" w:sz="4" w:space="0"/>
              <w:bottom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霉菌</w:t>
            </w:r>
          </w:p>
        </w:tc>
        <w:tc>
          <w:tcPr>
            <w:tcW w:w="2079" w:type="pct"/>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4789.15-2016</w:t>
            </w:r>
          </w:p>
        </w:tc>
      </w:tr>
      <w:tr>
        <w:tblPrEx>
          <w:tblCellMar>
            <w:top w:w="0" w:type="dxa"/>
            <w:left w:w="108" w:type="dxa"/>
            <w:bottom w:w="0" w:type="dxa"/>
            <w:right w:w="108" w:type="dxa"/>
          </w:tblCellMar>
        </w:tblPrEx>
        <w:trPr>
          <w:cantSplit/>
          <w:trHeight w:val="454" w:hRule="atLeast"/>
        </w:trPr>
        <w:tc>
          <w:tcPr>
            <w:tcW w:w="5000"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7"/>
              <w:adjustRightInd w:val="0"/>
              <w:snapToGrid w:val="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注：</w:t>
            </w:r>
          </w:p>
          <w:p>
            <w:pPr>
              <w:pStyle w:val="7"/>
              <w:adjustRightInd w:val="0"/>
              <w:snapToGrid w:val="0"/>
              <w:ind w:firstLine="480" w:firstLineChars="200"/>
              <w:jc w:val="both"/>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*——一次性塑料餐具产品宣称可微波炉使用时，检验微波炉高频加热性能、微波炉耐温性。</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表3　食品接触用</w:t>
      </w:r>
      <w:r>
        <w:rPr>
          <w:rFonts w:hint="eastAsia" w:ascii="仿宋" w:hAnsi="仿宋" w:eastAsia="仿宋" w:cs="仿宋"/>
          <w:b/>
          <w:color w:val="auto"/>
          <w:sz w:val="24"/>
          <w:szCs w:val="24"/>
          <w:highlight w:val="none"/>
          <w:lang w:eastAsia="zh-CN"/>
        </w:rPr>
        <w:t>特定一次性塑料餐具</w:t>
      </w:r>
      <w:r>
        <w:rPr>
          <w:rFonts w:hint="eastAsia" w:ascii="仿宋" w:hAnsi="仿宋" w:eastAsia="仿宋" w:cs="仿宋"/>
          <w:b/>
          <w:color w:val="auto"/>
          <w:sz w:val="24"/>
          <w:szCs w:val="24"/>
          <w:highlight w:val="none"/>
        </w:rPr>
        <w:t>（GB 4806.7-2016）</w:t>
      </w:r>
    </w:p>
    <w:tbl>
      <w:tblPr>
        <w:tblStyle w:val="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3833"/>
        <w:gridCol w:w="3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序号</w:t>
            </w:r>
          </w:p>
        </w:tc>
        <w:tc>
          <w:tcPr>
            <w:tcW w:w="2251" w:type="pct"/>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检验项目</w:t>
            </w:r>
          </w:p>
        </w:tc>
        <w:tc>
          <w:tcPr>
            <w:tcW w:w="2179" w:type="pct"/>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感官</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浸泡液</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总迁移量</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31604.8-20</w:t>
            </w:r>
            <w:r>
              <w:rPr>
                <w:rFonts w:hint="eastAsia" w:ascii="仿宋" w:hAnsi="仿宋" w:eastAsia="仿宋" w:cs="仿宋"/>
                <w:color w:val="auto"/>
                <w:sz w:val="24"/>
                <w:szCs w:val="24"/>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高锰酸钾消耗量</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重金属</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脱色试验</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w:t>
            </w:r>
          </w:p>
        </w:tc>
        <w:tc>
          <w:tcPr>
            <w:tcW w:w="2251"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锑（以Sb计）（限PET材质）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GB 31604.41-2016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对苯二甲酸迁移量（限PET材质）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31604.21-2016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9</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乙二醇和二甘醇迁移量（限PET材质）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10</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游离酚(蒸馏水)（限PC材质）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 xml:space="preserve">GB 31604.46-2016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top"/>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己内酰胺（限PA材质）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12</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氯乙烯（限PVC材质）</w:t>
            </w:r>
          </w:p>
        </w:tc>
        <w:tc>
          <w:tcPr>
            <w:tcW w:w="2179" w:type="pct"/>
            <w:noWrap w:val="0"/>
            <w:vAlign w:val="center"/>
          </w:tcPr>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 xml:space="preserve">GB 31604.31-2016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13</w:t>
            </w:r>
          </w:p>
        </w:tc>
        <w:tc>
          <w:tcPr>
            <w:tcW w:w="2251" w:type="pct"/>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单体及其他起始物</w:t>
            </w:r>
          </w:p>
        </w:tc>
        <w:tc>
          <w:tcPr>
            <w:tcW w:w="2179" w:type="pct"/>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4806.6-2016</w:t>
            </w:r>
          </w:p>
          <w:p>
            <w:pPr>
              <w:adjustRightInd w:val="0"/>
              <w:snapToGrid w:val="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GB 4806.7-2016</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表</w:t>
      </w: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lang w:val="zh-CN"/>
        </w:rPr>
        <w:t>聚丙烯饮用</w:t>
      </w:r>
      <w:r>
        <w:rPr>
          <w:rFonts w:hint="eastAsia" w:ascii="仿宋" w:hAnsi="仿宋" w:eastAsia="仿宋" w:cs="仿宋"/>
          <w:b/>
          <w:color w:val="auto"/>
          <w:sz w:val="24"/>
          <w:szCs w:val="24"/>
          <w:highlight w:val="none"/>
        </w:rPr>
        <w:t>吸管（GB/T 24693-2009）</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3321"/>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55" w:type="dxa"/>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序号</w:t>
            </w:r>
          </w:p>
        </w:tc>
        <w:tc>
          <w:tcPr>
            <w:tcW w:w="3619" w:type="dxa"/>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检验项目</w:t>
            </w:r>
          </w:p>
        </w:tc>
        <w:tc>
          <w:tcPr>
            <w:tcW w:w="3993" w:type="dxa"/>
            <w:noWrap w:val="0"/>
            <w:vAlign w:val="center"/>
          </w:tcPr>
          <w:p>
            <w:pPr>
              <w:adjustRightInd w:val="0"/>
              <w:snapToGrid w:val="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感官</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浸泡液</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总迁移量</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GB 31604.8-20</w:t>
            </w:r>
            <w:r>
              <w:rPr>
                <w:rFonts w:hint="eastAsia" w:ascii="仿宋" w:hAnsi="仿宋" w:eastAsia="仿宋" w:cs="仿宋"/>
                <w:color w:val="auto"/>
                <w:kern w:val="2"/>
                <w:sz w:val="24"/>
                <w:szCs w:val="24"/>
                <w:highlight w:val="no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高锰酸钾消耗量（水）</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重金属（以Pb计）</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脱色试验</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GB 31604.</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折弯波纹</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GB/T 24693-2009</w:t>
            </w:r>
            <w:r>
              <w:rPr>
                <w:rFonts w:hint="eastAsia" w:ascii="仿宋" w:hAnsi="仿宋" w:eastAsia="仿宋" w:cs="仿宋"/>
                <w:color w:val="auto"/>
                <w:kern w:val="2"/>
                <w:sz w:val="24"/>
                <w:szCs w:val="24"/>
                <w:highlight w:val="none"/>
                <w:lang w:val="en-US" w:eastAsia="zh-CN"/>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55"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w:t>
            </w:r>
          </w:p>
        </w:tc>
        <w:tc>
          <w:tcPr>
            <w:tcW w:w="3619" w:type="dxa"/>
            <w:noWrap w:val="0"/>
            <w:vAlign w:val="center"/>
          </w:tcPr>
          <w:p>
            <w:pPr>
              <w:pStyle w:val="7"/>
              <w:adjustRightInd w:val="0"/>
              <w:snapToGrid w:val="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伸缩吸管分离时的拉伸力</w:t>
            </w:r>
          </w:p>
        </w:tc>
        <w:tc>
          <w:tcPr>
            <w:tcW w:w="3993" w:type="dxa"/>
            <w:noWrap w:val="0"/>
            <w:vAlign w:val="center"/>
          </w:tcPr>
          <w:p>
            <w:pPr>
              <w:pStyle w:val="7"/>
              <w:adjustRightInd w:val="0"/>
              <w:snapToGrid w:val="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GB/T 24693-2009</w:t>
            </w:r>
            <w:r>
              <w:rPr>
                <w:rFonts w:hint="eastAsia" w:ascii="仿宋" w:hAnsi="仿宋" w:eastAsia="仿宋" w:cs="仿宋"/>
                <w:color w:val="auto"/>
                <w:kern w:val="2"/>
                <w:sz w:val="24"/>
                <w:szCs w:val="24"/>
                <w:highlight w:val="none"/>
                <w:lang w:val="en-US" w:eastAsia="zh-CN"/>
              </w:rPr>
              <w:t>/7.4</w:t>
            </w:r>
          </w:p>
        </w:tc>
      </w:tr>
    </w:tbl>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执行企业标准、团体标准、地方标准的产品，检验项目参照</w:t>
      </w:r>
      <w:r>
        <w:rPr>
          <w:rFonts w:hint="eastAsia" w:ascii="仿宋" w:hAnsi="仿宋" w:eastAsia="仿宋" w:cs="仿宋"/>
          <w:color w:val="auto"/>
          <w:sz w:val="24"/>
          <w:szCs w:val="24"/>
          <w:highlight w:val="none"/>
          <w:lang w:eastAsia="zh-CN"/>
        </w:rPr>
        <w:t>表</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内容执行。</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before="149" w:beforeLines="50"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判定规则</w:t>
      </w:r>
    </w:p>
    <w:p>
      <w:pPr>
        <w:adjustRightInd w:val="0"/>
        <w:snapToGrid w:val="0"/>
        <w:spacing w:line="56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3.1依据标准</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 18006.1-2009 塑料一次性餐饮具 通用技术要求</w:t>
      </w:r>
    </w:p>
    <w:p>
      <w:pPr>
        <w:adjustRightInd w:val="0"/>
        <w:snapToGrid w:val="0"/>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 24693-2009</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聚丙烯饮用</w:t>
      </w:r>
      <w:r>
        <w:rPr>
          <w:rFonts w:hint="eastAsia" w:ascii="仿宋" w:hAnsi="仿宋" w:eastAsia="仿宋" w:cs="仿宋"/>
          <w:color w:val="auto"/>
          <w:sz w:val="24"/>
          <w:szCs w:val="24"/>
          <w:highlight w:val="none"/>
        </w:rPr>
        <w:t>吸管</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4806.6-2016 食品安全国家标准 食品接触用塑料树脂</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4806.7-2016 食品安全国家标准 食品接触用塑料材料及制品</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 9685-2016 食品安全国家标准 食品接触材料及制品用添加剂使用标准</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国家质量监督检验检疫总局《食品用塑料包装、容器、工具等制品生产许可审查细则》</w:t>
      </w:r>
    </w:p>
    <w:p>
      <w:pPr>
        <w:keepNext w:val="0"/>
        <w:keepLines w:val="0"/>
        <w:pageBreakBefore w:val="0"/>
        <w:widowControl w:val="0"/>
        <w:kinsoku/>
        <w:wordWrap/>
        <w:overflowPunct/>
        <w:topLinePunct w:val="0"/>
        <w:autoSpaceDE/>
        <w:autoSpaceDN/>
        <w:bidi w:val="0"/>
        <w:snapToGrid w:val="0"/>
        <w:spacing w:line="594"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相关的法律法规、部门规章和规范</w:t>
      </w:r>
    </w:p>
    <w:p>
      <w:pPr>
        <w:keepNext w:val="0"/>
        <w:keepLines w:val="0"/>
        <w:pageBreakBefore w:val="0"/>
        <w:widowControl w:val="0"/>
        <w:kinsoku/>
        <w:wordWrap/>
        <w:overflowPunct/>
        <w:topLinePunct w:val="0"/>
        <w:autoSpaceDE/>
        <w:autoSpaceDN/>
        <w:bidi w:val="0"/>
        <w:snapToGrid w:val="0"/>
        <w:spacing w:line="594"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现行有效的企业标准及产品明示质量要求</w:t>
      </w:r>
    </w:p>
    <w:p>
      <w:pPr>
        <w:adjustRightInd w:val="0"/>
        <w:snapToGrid w:val="0"/>
        <w:spacing w:line="56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3.2判定原则</w:t>
      </w:r>
    </w:p>
    <w:p>
      <w:pPr>
        <w:snapToGrid w:val="0"/>
        <w:spacing w:line="594"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经检验，检验项目全部合格，判定为被抽查产品合格；检验项目中任一项或一项以上不合格，判定为被抽查产品不合格。</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若被检产品明示的质量要求高于本细则中检验项目依据的标准要求时，应按被检产品明示的质量要求判定。</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若被检产品明示的质量要求低于本细则中检验项目依据的强制性标准要求时，应按照强制性标准要求判定。</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若被检产品明示的质量要求低于或包含本细则中检验项目依据的推荐性标准要求时，应以被检产品明示的质量要求判定。</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若被检产品明示的质量要求缺少本细则中检验项目依据的强制性标准要求时，应按照强制性标准要求判定。</w:t>
      </w:r>
    </w:p>
    <w:p>
      <w:pPr>
        <w:snapToGrid w:val="0"/>
        <w:spacing w:line="594" w:lineRule="exact"/>
        <w:ind w:firstLine="477" w:firstLineChars="19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若被检产品明示的质量要求缺少本细则中检验项目依据的推荐性标准要求时，该项目不参与判定。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auto"/>
          <w:sz w:val="24"/>
          <w:szCs w:val="24"/>
          <w:highlight w:val="none"/>
        </w:rPr>
        <w:t>依据卫健委“卫监督发[2005]515号”《健康相关产品国家卫生监督抽检规定》第十九条“产品微生物指标超标的不予复检”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“检验结果报告后，剩余样品和同批产品不进行微生物项目的复检”的规定，微生物项目（大肠杆菌、</w:t>
      </w:r>
      <w:r>
        <w:rPr>
          <w:rFonts w:hint="eastAsia" w:ascii="仿宋" w:hAnsi="仿宋" w:eastAsia="仿宋" w:cs="仿宋"/>
          <w:color w:val="auto"/>
          <w:sz w:val="24"/>
          <w:szCs w:val="24"/>
          <w:highlight w:val="none"/>
          <w:lang w:eastAsia="zh-CN"/>
        </w:rPr>
        <w:t>致病菌</w:t>
      </w:r>
      <w:r>
        <w:rPr>
          <w:rFonts w:hint="eastAsia" w:ascii="仿宋" w:hAnsi="仿宋" w:eastAsia="仿宋" w:cs="仿宋"/>
          <w:color w:val="auto"/>
          <w:sz w:val="24"/>
          <w:szCs w:val="24"/>
          <w:highlight w:val="none"/>
        </w:rPr>
        <w:t>、霉菌）不合格不复检。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56401E2A"/>
    <w:rsid w:val="10602945"/>
    <w:rsid w:val="11BF7A14"/>
    <w:rsid w:val="14CD52E3"/>
    <w:rsid w:val="29F611D8"/>
    <w:rsid w:val="2FE059A7"/>
    <w:rsid w:val="349B05D2"/>
    <w:rsid w:val="3D73184C"/>
    <w:rsid w:val="3D927079"/>
    <w:rsid w:val="408366A3"/>
    <w:rsid w:val="49B74219"/>
    <w:rsid w:val="56401E2A"/>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7">
    <w:name w:val="Plain Text"/>
    <w:basedOn w:val="1"/>
    <w:qFormat/>
    <w:uiPriority w:val="99"/>
    <w:rPr>
      <w:rFonts w:ascii="宋体" w:hAnsi="Courier New"/>
      <w:kern w:val="0"/>
      <w:sz w:val="20"/>
      <w:szCs w:val="20"/>
    </w:rPr>
  </w:style>
  <w:style w:type="paragraph" w:customStyle="1" w:styleId="10">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11">
    <w:name w:val="二级无标题条"/>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2022-12-09T08:42:00Z</dcterms:created>
  <dc:creator>天正检测</dc:creator>
  <cp:lastModifiedBy>天正检测</cp:lastModifiedBy>
  <dcterms:modified xsi:type="dcterms:W3CDTF">2022-12-09T08:42:17Z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283930785EC7430E856F07B6CF8ED6CD</vt:lpwstr>
  </property>
</Properties>
</file>