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val="en-US" w:eastAsia="zh-CN"/>
        </w:rPr>
        <w:t>小家电</w:t>
      </w:r>
      <w:r>
        <w:rPr>
          <w:rFonts w:hint="eastAsia" w:ascii="仿宋" w:hAnsi="仿宋" w:eastAsia="仿宋" w:cs="仿宋"/>
          <w:b/>
          <w:bCs/>
          <w:color w:val="000000"/>
          <w:sz w:val="24"/>
          <w:szCs w:val="24"/>
          <w:highlight w:val="none"/>
        </w:rPr>
        <w:t>产品质量监督抽查实施细则</w:t>
      </w:r>
    </w:p>
    <w:p>
      <w:pPr>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本细则适用市场监督管理局组织的</w:t>
      </w:r>
      <w:r>
        <w:rPr>
          <w:rFonts w:hint="eastAsia" w:ascii="仿宋" w:hAnsi="仿宋" w:eastAsia="仿宋" w:cs="仿宋"/>
          <w:sz w:val="24"/>
          <w:szCs w:val="24"/>
          <w:highlight w:val="none"/>
          <w:lang w:val="en-US" w:eastAsia="zh-CN"/>
        </w:rPr>
        <w:t>小家电类</w:t>
      </w:r>
      <w:r>
        <w:rPr>
          <w:rFonts w:hint="eastAsia" w:ascii="仿宋" w:hAnsi="仿宋" w:eastAsia="仿宋" w:cs="仿宋"/>
          <w:sz w:val="24"/>
          <w:szCs w:val="24"/>
          <w:highlight w:val="none"/>
        </w:rPr>
        <w:t>产品质量监督抽查。本细则规定了此产品的抽样方法、检验依据、检验项目、检验方法、判定规则等。</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 抽样方法</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以随机抽样方式在被抽样生产者、销售者的待销产品中抽取。</w:t>
      </w:r>
    </w:p>
    <w:p>
      <w:pPr>
        <w:snapToGrid w:val="0"/>
        <w:spacing w:line="594" w:lineRule="exact"/>
        <w:ind w:firstLine="480" w:firstLineChars="200"/>
        <w:rPr>
          <w:rFonts w:hint="eastAsia" w:ascii="仿宋" w:hAnsi="仿宋" w:eastAsia="仿宋" w:cs="仿宋"/>
          <w:color w:val="000000"/>
          <w:spacing w:val="-6"/>
          <w:sz w:val="24"/>
          <w:szCs w:val="24"/>
          <w:highlight w:val="none"/>
        </w:rPr>
      </w:pPr>
      <w:r>
        <w:rPr>
          <w:rFonts w:hint="eastAsia" w:ascii="仿宋" w:hAnsi="仿宋" w:eastAsia="仿宋" w:cs="仿宋"/>
          <w:color w:val="000000"/>
          <w:sz w:val="24"/>
          <w:szCs w:val="24"/>
          <w:highlight w:val="none"/>
        </w:rPr>
        <w:t>随</w:t>
      </w:r>
      <w:r>
        <w:rPr>
          <w:rFonts w:hint="eastAsia" w:ascii="仿宋" w:hAnsi="仿宋" w:eastAsia="仿宋" w:cs="仿宋"/>
          <w:color w:val="000000"/>
          <w:spacing w:val="-6"/>
          <w:sz w:val="24"/>
          <w:szCs w:val="24"/>
          <w:highlight w:val="none"/>
        </w:rPr>
        <w:t>机数一般可使用随机数表、随机数骰子或扑克牌等方法产生。</w:t>
      </w:r>
    </w:p>
    <w:p>
      <w:pPr>
        <w:adjustRightInd w:val="0"/>
        <w:snapToGrid w:val="0"/>
        <w:spacing w:before="156" w:beforeLines="50" w:line="560" w:lineRule="exact"/>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表1 样品抽取数量</w:t>
      </w:r>
    </w:p>
    <w:tbl>
      <w:tblPr>
        <w:tblStyle w:val="7"/>
        <w:tblW w:w="8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3080"/>
        <w:gridCol w:w="1463"/>
        <w:gridCol w:w="1741"/>
        <w:gridCol w:w="1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4" w:hRule="atLeast"/>
          <w:jc w:val="center"/>
        </w:trPr>
        <w:tc>
          <w:tcPr>
            <w:tcW w:w="8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szCs w:val="24"/>
                <w:highlight w:val="none"/>
                <w:lang w:eastAsia="en-US"/>
              </w:rPr>
            </w:pPr>
            <w:r>
              <w:rPr>
                <w:rFonts w:hint="eastAsia" w:ascii="仿宋" w:hAnsi="仿宋" w:eastAsia="仿宋" w:cs="仿宋"/>
                <w:bCs/>
                <w:color w:val="000000"/>
                <w:kern w:val="0"/>
                <w:sz w:val="24"/>
                <w:szCs w:val="24"/>
                <w:highlight w:val="none"/>
              </w:rPr>
              <w:t>序号</w:t>
            </w:r>
          </w:p>
        </w:tc>
        <w:tc>
          <w:tcPr>
            <w:tcW w:w="30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szCs w:val="24"/>
                <w:highlight w:val="none"/>
                <w:lang w:eastAsia="en-US"/>
              </w:rPr>
            </w:pPr>
            <w:r>
              <w:rPr>
                <w:rFonts w:hint="eastAsia" w:ascii="仿宋" w:hAnsi="仿宋" w:eastAsia="仿宋" w:cs="仿宋"/>
                <w:bCs/>
                <w:color w:val="000000"/>
                <w:kern w:val="0"/>
                <w:sz w:val="24"/>
                <w:szCs w:val="24"/>
                <w:highlight w:val="none"/>
              </w:rPr>
              <w:t>产品种类</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szCs w:val="24"/>
                <w:highlight w:val="none"/>
                <w:lang w:eastAsia="en-US"/>
              </w:rPr>
            </w:pPr>
            <w:r>
              <w:rPr>
                <w:rFonts w:hint="eastAsia" w:ascii="仿宋" w:hAnsi="仿宋" w:eastAsia="仿宋" w:cs="仿宋"/>
                <w:bCs/>
                <w:color w:val="000000"/>
                <w:kern w:val="0"/>
                <w:sz w:val="24"/>
                <w:szCs w:val="24"/>
                <w:highlight w:val="none"/>
              </w:rPr>
              <w:t>抽样数量</w:t>
            </w:r>
          </w:p>
        </w:tc>
        <w:tc>
          <w:tcPr>
            <w:tcW w:w="17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szCs w:val="24"/>
                <w:highlight w:val="none"/>
                <w:lang w:eastAsia="en-US"/>
              </w:rPr>
            </w:pPr>
            <w:r>
              <w:rPr>
                <w:rFonts w:hint="eastAsia" w:ascii="仿宋" w:hAnsi="仿宋" w:eastAsia="仿宋" w:cs="仿宋"/>
                <w:color w:val="000000"/>
                <w:sz w:val="24"/>
                <w:szCs w:val="24"/>
                <w:highlight w:val="none"/>
              </w:rPr>
              <w:t>检验样品数量</w:t>
            </w:r>
          </w:p>
        </w:tc>
        <w:tc>
          <w:tcPr>
            <w:tcW w:w="183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备用样品数</w:t>
            </w:r>
            <w:r>
              <w:rPr>
                <w:rFonts w:hint="eastAsia" w:ascii="仿宋" w:hAnsi="仿宋" w:eastAsia="仿宋" w:cs="仿宋"/>
                <w:color w:val="000000"/>
                <w:sz w:val="24"/>
                <w:szCs w:val="24"/>
                <w:highlight w:val="none"/>
                <w:lang w:val="en-US" w:eastAsia="zh-CN"/>
              </w:rPr>
              <w:t>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8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szCs w:val="24"/>
                <w:highlight w:val="none"/>
              </w:rPr>
            </w:pPr>
            <w:r>
              <w:rPr>
                <w:rFonts w:hint="eastAsia" w:ascii="仿宋" w:hAnsi="仿宋" w:eastAsia="仿宋" w:cs="仿宋"/>
                <w:bCs/>
                <w:color w:val="000000"/>
                <w:kern w:val="0"/>
                <w:sz w:val="24"/>
                <w:szCs w:val="24"/>
                <w:highlight w:val="none"/>
              </w:rPr>
              <w:t>1</w:t>
            </w:r>
          </w:p>
        </w:tc>
        <w:tc>
          <w:tcPr>
            <w:tcW w:w="30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小家电类</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sz w:val="24"/>
                <w:szCs w:val="24"/>
                <w:highlight w:val="none"/>
                <w:lang w:val="en-US" w:eastAsia="zh-CN"/>
              </w:rPr>
            </w:pPr>
            <w:r>
              <w:rPr>
                <w:rFonts w:hint="eastAsia" w:ascii="仿宋" w:hAnsi="仿宋" w:eastAsia="仿宋" w:cs="仿宋"/>
                <w:bCs/>
                <w:kern w:val="0"/>
                <w:sz w:val="24"/>
                <w:szCs w:val="24"/>
                <w:highlight w:val="none"/>
                <w:lang w:val="en-US" w:eastAsia="zh-CN"/>
              </w:rPr>
              <w:t>3台或床</w:t>
            </w:r>
          </w:p>
        </w:tc>
        <w:tc>
          <w:tcPr>
            <w:tcW w:w="17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2</w:t>
            </w:r>
            <w:r>
              <w:rPr>
                <w:rFonts w:hint="eastAsia" w:ascii="仿宋" w:hAnsi="仿宋" w:eastAsia="仿宋" w:cs="仿宋"/>
                <w:bCs/>
                <w:kern w:val="0"/>
                <w:sz w:val="24"/>
                <w:szCs w:val="24"/>
                <w:highlight w:val="none"/>
                <w:lang w:val="en-US" w:eastAsia="zh-CN"/>
              </w:rPr>
              <w:t>台或床</w:t>
            </w:r>
          </w:p>
        </w:tc>
        <w:tc>
          <w:tcPr>
            <w:tcW w:w="183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4"/>
                <w:szCs w:val="24"/>
                <w:highlight w:val="none"/>
                <w:lang w:eastAsia="en-US"/>
              </w:rPr>
            </w:pPr>
            <w:r>
              <w:rPr>
                <w:rFonts w:hint="eastAsia" w:ascii="仿宋" w:hAnsi="仿宋" w:eastAsia="仿宋" w:cs="仿宋"/>
                <w:sz w:val="24"/>
                <w:szCs w:val="24"/>
                <w:highlight w:val="none"/>
              </w:rPr>
              <w:t>1</w:t>
            </w:r>
            <w:r>
              <w:rPr>
                <w:rFonts w:hint="eastAsia" w:ascii="仿宋" w:hAnsi="仿宋" w:eastAsia="仿宋" w:cs="仿宋"/>
                <w:bCs/>
                <w:kern w:val="0"/>
                <w:sz w:val="24"/>
                <w:szCs w:val="24"/>
                <w:highlight w:val="none"/>
                <w:lang w:val="en-US" w:eastAsia="zh-CN"/>
              </w:rPr>
              <w:t>台或床</w:t>
            </w:r>
          </w:p>
        </w:tc>
      </w:tr>
    </w:tbl>
    <w:p>
      <w:pPr>
        <w:adjustRightInd w:val="0"/>
        <w:snapToGrid w:val="0"/>
        <w:spacing w:before="156" w:beforeLines="50" w:line="560" w:lineRule="exact"/>
        <w:ind w:firstLine="480" w:firstLineChars="200"/>
        <w:rPr>
          <w:rFonts w:hint="eastAsia" w:ascii="仿宋" w:hAnsi="仿宋" w:eastAsia="仿宋" w:cs="仿宋"/>
          <w:b/>
          <w:bCs/>
          <w:color w:val="000000"/>
          <w:kern w:val="0"/>
          <w:sz w:val="24"/>
          <w:szCs w:val="24"/>
          <w:highlight w:val="none"/>
        </w:rPr>
      </w:pPr>
      <w:r>
        <w:rPr>
          <w:rFonts w:hint="eastAsia" w:ascii="仿宋" w:hAnsi="仿宋" w:eastAsia="仿宋" w:cs="仿宋"/>
          <w:color w:val="000000"/>
          <w:sz w:val="24"/>
          <w:szCs w:val="24"/>
          <w:highlight w:val="none"/>
        </w:rPr>
        <w:t xml:space="preserve">2 检验依据   </w:t>
      </w:r>
    </w:p>
    <w:p>
      <w:pPr>
        <w:adjustRightInd w:val="0"/>
        <w:snapToGrid w:val="0"/>
        <w:spacing w:before="156" w:beforeLines="50" w:line="560" w:lineRule="exact"/>
        <w:jc w:val="center"/>
        <w:rPr>
          <w:rFonts w:hint="eastAsia" w:ascii="仿宋" w:hAnsi="仿宋" w:eastAsia="仿宋" w:cs="仿宋"/>
          <w:color w:val="000000"/>
          <w:sz w:val="24"/>
          <w:szCs w:val="24"/>
          <w:highlight w:val="none"/>
        </w:rPr>
      </w:pPr>
      <w:r>
        <w:rPr>
          <w:rFonts w:hint="eastAsia" w:ascii="仿宋" w:hAnsi="仿宋" w:eastAsia="仿宋" w:cs="仿宋"/>
          <w:b/>
          <w:bCs/>
          <w:color w:val="000000"/>
          <w:kern w:val="0"/>
          <w:sz w:val="24"/>
          <w:szCs w:val="24"/>
          <w:highlight w:val="none"/>
        </w:rPr>
        <w:t xml:space="preserve">表2 </w:t>
      </w:r>
      <w:r>
        <w:rPr>
          <w:rFonts w:hint="eastAsia" w:ascii="仿宋" w:hAnsi="仿宋" w:eastAsia="仿宋" w:cs="仿宋"/>
          <w:b/>
          <w:bCs/>
          <w:color w:val="000000"/>
          <w:kern w:val="0"/>
          <w:sz w:val="24"/>
          <w:szCs w:val="24"/>
          <w:highlight w:val="none"/>
          <w:lang w:val="en-US" w:eastAsia="zh-CN"/>
        </w:rPr>
        <w:t>小家电</w:t>
      </w:r>
      <w:r>
        <w:rPr>
          <w:rFonts w:hint="eastAsia" w:ascii="仿宋" w:hAnsi="仿宋" w:eastAsia="仿宋" w:cs="仿宋"/>
          <w:b/>
          <w:bCs/>
          <w:color w:val="000000"/>
          <w:kern w:val="0"/>
          <w:sz w:val="24"/>
          <w:szCs w:val="24"/>
          <w:highlight w:val="none"/>
        </w:rPr>
        <w:t>产品</w:t>
      </w:r>
    </w:p>
    <w:tbl>
      <w:tblPr>
        <w:tblStyle w:val="7"/>
        <w:tblW w:w="50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20"/>
        <w:gridCol w:w="4012"/>
        <w:gridCol w:w="3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7" w:hRule="atLeast"/>
          <w:tblHeader/>
          <w:jc w:val="center"/>
        </w:trPr>
        <w:tc>
          <w:tcPr>
            <w:tcW w:w="483" w:type="pct"/>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序号</w:t>
            </w:r>
          </w:p>
        </w:tc>
        <w:tc>
          <w:tcPr>
            <w:tcW w:w="2362" w:type="pct"/>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检验项目</w:t>
            </w:r>
          </w:p>
        </w:tc>
        <w:tc>
          <w:tcPr>
            <w:tcW w:w="2155" w:type="pct"/>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5" w:hRule="atLeast"/>
          <w:jc w:val="center"/>
        </w:trPr>
        <w:tc>
          <w:tcPr>
            <w:tcW w:w="483" w:type="pct"/>
            <w:noWrap w:val="0"/>
            <w:vAlign w:val="center"/>
          </w:tcPr>
          <w:p>
            <w:pPr>
              <w:jc w:val="center"/>
              <w:rPr>
                <w:rFonts w:hint="eastAsia" w:ascii="仿宋" w:hAnsi="仿宋" w:eastAsia="仿宋" w:cs="仿宋"/>
                <w:bCs/>
                <w:color w:val="000000"/>
                <w:kern w:val="0"/>
                <w:sz w:val="24"/>
                <w:szCs w:val="24"/>
                <w:highlight w:val="none"/>
                <w:lang w:eastAsia="en-US"/>
              </w:rPr>
            </w:pPr>
            <w:r>
              <w:rPr>
                <w:rFonts w:hint="eastAsia" w:ascii="仿宋" w:hAnsi="仿宋" w:eastAsia="仿宋" w:cs="仿宋"/>
                <w:bCs/>
                <w:color w:val="000000"/>
                <w:kern w:val="0"/>
                <w:sz w:val="24"/>
                <w:szCs w:val="24"/>
                <w:highlight w:val="none"/>
                <w:lang w:eastAsia="en-US"/>
              </w:rPr>
              <w:t>1</w:t>
            </w:r>
          </w:p>
        </w:tc>
        <w:tc>
          <w:tcPr>
            <w:tcW w:w="2362" w:type="pct"/>
            <w:noWrap w:val="0"/>
            <w:vAlign w:val="center"/>
          </w:tcPr>
          <w:p>
            <w:pPr>
              <w:jc w:val="center"/>
              <w:rPr>
                <w:rFonts w:hint="eastAsia" w:ascii="仿宋" w:hAnsi="仿宋" w:eastAsia="仿宋" w:cs="仿宋"/>
                <w:bCs/>
                <w:color w:val="000000"/>
                <w:kern w:val="0"/>
                <w:sz w:val="24"/>
                <w:szCs w:val="24"/>
                <w:highlight w:val="none"/>
                <w:lang w:eastAsia="en-US"/>
              </w:rPr>
            </w:pPr>
            <w:r>
              <w:rPr>
                <w:rFonts w:hint="eastAsia" w:ascii="仿宋" w:hAnsi="仿宋" w:eastAsia="仿宋" w:cs="仿宋"/>
                <w:bCs/>
                <w:color w:val="000000"/>
                <w:kern w:val="0"/>
                <w:sz w:val="24"/>
                <w:szCs w:val="24"/>
                <w:highlight w:val="none"/>
                <w:lang w:eastAsia="en-US"/>
              </w:rPr>
              <w:t>标志和说明</w:t>
            </w:r>
          </w:p>
        </w:tc>
        <w:tc>
          <w:tcPr>
            <w:tcW w:w="2155" w:type="pct"/>
            <w:noWrap w:val="0"/>
            <w:vAlign w:val="center"/>
          </w:tcPr>
          <w:p>
            <w:pPr>
              <w:snapToGrid w:val="0"/>
              <w:jc w:val="center"/>
              <w:rPr>
                <w:rFonts w:hint="default" w:ascii="仿宋" w:hAnsi="仿宋" w:eastAsia="仿宋" w:cs="仿宋"/>
                <w:sz w:val="24"/>
                <w:szCs w:val="24"/>
                <w:highlight w:val="none"/>
                <w:lang w:val="en-US" w:eastAsia="zh-CN"/>
              </w:rPr>
            </w:pPr>
            <w:r>
              <w:rPr>
                <w:rFonts w:hint="eastAsia" w:ascii="仿宋" w:hAnsi="仿宋" w:eastAsia="仿宋" w:cs="仿宋"/>
                <w:bCs/>
                <w:color w:val="000000"/>
                <w:kern w:val="0"/>
                <w:sz w:val="24"/>
                <w:szCs w:val="24"/>
                <w:highlight w:val="none"/>
              </w:rPr>
              <w:t>GB 4706.1-2005</w:t>
            </w:r>
            <w:r>
              <w:rPr>
                <w:rFonts w:hint="eastAsia" w:ascii="仿宋" w:hAnsi="仿宋" w:eastAsia="仿宋" w:cs="仿宋"/>
                <w:bCs/>
                <w:color w:val="000000"/>
                <w:kern w:val="0"/>
                <w:sz w:val="24"/>
                <w:szCs w:val="24"/>
                <w:highlight w:val="none"/>
                <w:lang w:val="en-US" w:eastAsia="zh-CN"/>
              </w:rPr>
              <w:t>及相关产品标准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5" w:hRule="atLeast"/>
          <w:jc w:val="center"/>
        </w:trPr>
        <w:tc>
          <w:tcPr>
            <w:tcW w:w="483" w:type="pct"/>
            <w:noWrap w:val="0"/>
            <w:vAlign w:val="center"/>
          </w:tcPr>
          <w:p>
            <w:pPr>
              <w:jc w:val="center"/>
              <w:rPr>
                <w:rFonts w:hint="eastAsia" w:ascii="仿宋" w:hAnsi="仿宋" w:eastAsia="仿宋" w:cs="仿宋"/>
                <w:bCs/>
                <w:color w:val="000000"/>
                <w:kern w:val="0"/>
                <w:sz w:val="24"/>
                <w:szCs w:val="24"/>
                <w:highlight w:val="none"/>
                <w:lang w:eastAsia="en-US"/>
              </w:rPr>
            </w:pPr>
            <w:r>
              <w:rPr>
                <w:rFonts w:hint="eastAsia" w:ascii="仿宋" w:hAnsi="仿宋" w:eastAsia="仿宋" w:cs="仿宋"/>
                <w:bCs/>
                <w:color w:val="000000"/>
                <w:kern w:val="0"/>
                <w:sz w:val="24"/>
                <w:szCs w:val="24"/>
                <w:highlight w:val="none"/>
                <w:lang w:eastAsia="en-US"/>
              </w:rPr>
              <w:t>2</w:t>
            </w:r>
          </w:p>
        </w:tc>
        <w:tc>
          <w:tcPr>
            <w:tcW w:w="2362" w:type="pct"/>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对触及带电部件的防护</w:t>
            </w:r>
          </w:p>
        </w:tc>
        <w:tc>
          <w:tcPr>
            <w:tcW w:w="2155"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bCs/>
                <w:color w:val="000000"/>
                <w:kern w:val="0"/>
                <w:sz w:val="24"/>
                <w:szCs w:val="24"/>
                <w:highlight w:val="none"/>
              </w:rPr>
              <w:t>GB 4706.1-2005</w:t>
            </w:r>
            <w:r>
              <w:rPr>
                <w:rFonts w:hint="eastAsia" w:ascii="仿宋" w:hAnsi="仿宋" w:eastAsia="仿宋" w:cs="仿宋"/>
                <w:bCs/>
                <w:color w:val="000000"/>
                <w:kern w:val="0"/>
                <w:sz w:val="24"/>
                <w:szCs w:val="24"/>
                <w:highlight w:val="none"/>
                <w:lang w:val="en-US" w:eastAsia="zh-CN"/>
              </w:rPr>
              <w:t>及相关产品标准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5" w:hRule="atLeast"/>
          <w:jc w:val="center"/>
        </w:trPr>
        <w:tc>
          <w:tcPr>
            <w:tcW w:w="483" w:type="pct"/>
            <w:noWrap w:val="0"/>
            <w:vAlign w:val="center"/>
          </w:tcPr>
          <w:p>
            <w:pPr>
              <w:jc w:val="center"/>
              <w:rPr>
                <w:rFonts w:hint="eastAsia" w:ascii="仿宋" w:hAnsi="仿宋" w:eastAsia="仿宋" w:cs="仿宋"/>
                <w:bCs/>
                <w:color w:val="000000"/>
                <w:kern w:val="0"/>
                <w:sz w:val="24"/>
                <w:szCs w:val="24"/>
                <w:highlight w:val="none"/>
                <w:lang w:eastAsia="en-US"/>
              </w:rPr>
            </w:pPr>
            <w:r>
              <w:rPr>
                <w:rFonts w:hint="eastAsia" w:ascii="仿宋" w:hAnsi="仿宋" w:eastAsia="仿宋" w:cs="仿宋"/>
                <w:bCs/>
                <w:color w:val="000000"/>
                <w:kern w:val="0"/>
                <w:sz w:val="24"/>
                <w:szCs w:val="24"/>
                <w:highlight w:val="none"/>
                <w:lang w:eastAsia="en-US"/>
              </w:rPr>
              <w:t>3</w:t>
            </w:r>
          </w:p>
        </w:tc>
        <w:tc>
          <w:tcPr>
            <w:tcW w:w="2362" w:type="pct"/>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输入功率</w:t>
            </w:r>
            <w:r>
              <w:rPr>
                <w:rFonts w:hint="eastAsia" w:ascii="仿宋" w:hAnsi="仿宋" w:eastAsia="仿宋" w:cs="仿宋"/>
                <w:bCs/>
                <w:color w:val="000000"/>
                <w:kern w:val="0"/>
                <w:sz w:val="24"/>
                <w:szCs w:val="24"/>
                <w:highlight w:val="none"/>
              </w:rPr>
              <w:t>和电流</w:t>
            </w:r>
          </w:p>
        </w:tc>
        <w:tc>
          <w:tcPr>
            <w:tcW w:w="2155"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bCs/>
                <w:color w:val="000000"/>
                <w:kern w:val="0"/>
                <w:sz w:val="24"/>
                <w:szCs w:val="24"/>
                <w:highlight w:val="none"/>
              </w:rPr>
              <w:t>GB 4706.1-2005</w:t>
            </w:r>
            <w:r>
              <w:rPr>
                <w:rFonts w:hint="eastAsia" w:ascii="仿宋" w:hAnsi="仿宋" w:eastAsia="仿宋" w:cs="仿宋"/>
                <w:bCs/>
                <w:color w:val="000000"/>
                <w:kern w:val="0"/>
                <w:sz w:val="24"/>
                <w:szCs w:val="24"/>
                <w:highlight w:val="none"/>
                <w:lang w:val="en-US" w:eastAsia="zh-CN"/>
              </w:rPr>
              <w:t>及相关产品标准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5" w:hRule="atLeast"/>
          <w:jc w:val="center"/>
        </w:trPr>
        <w:tc>
          <w:tcPr>
            <w:tcW w:w="483" w:type="pct"/>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362"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sz w:val="24"/>
                <w:szCs w:val="24"/>
                <w:highlight w:val="none"/>
                <w:lang w:eastAsia="en-US"/>
              </w:rPr>
              <w:t>耐潮湿</w:t>
            </w:r>
          </w:p>
        </w:tc>
        <w:tc>
          <w:tcPr>
            <w:tcW w:w="2155"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bCs/>
                <w:color w:val="000000"/>
                <w:kern w:val="0"/>
                <w:sz w:val="24"/>
                <w:szCs w:val="24"/>
                <w:highlight w:val="none"/>
              </w:rPr>
              <w:t>GB 4706.1-2005</w:t>
            </w:r>
            <w:r>
              <w:rPr>
                <w:rFonts w:hint="eastAsia" w:ascii="仿宋" w:hAnsi="仿宋" w:eastAsia="仿宋" w:cs="仿宋"/>
                <w:bCs/>
                <w:color w:val="000000"/>
                <w:kern w:val="0"/>
                <w:sz w:val="24"/>
                <w:szCs w:val="24"/>
                <w:highlight w:val="none"/>
                <w:lang w:val="en-US" w:eastAsia="zh-CN"/>
              </w:rPr>
              <w:t>及相关产品标准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5" w:hRule="atLeast"/>
          <w:jc w:val="center"/>
        </w:trPr>
        <w:tc>
          <w:tcPr>
            <w:tcW w:w="483" w:type="pct"/>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362"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sz w:val="24"/>
                <w:szCs w:val="24"/>
                <w:highlight w:val="none"/>
                <w:lang w:eastAsia="en-US"/>
              </w:rPr>
              <w:t>泄漏电流和电气强度</w:t>
            </w:r>
          </w:p>
        </w:tc>
        <w:tc>
          <w:tcPr>
            <w:tcW w:w="2155"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bCs/>
                <w:color w:val="000000"/>
                <w:kern w:val="0"/>
                <w:sz w:val="24"/>
                <w:szCs w:val="24"/>
                <w:highlight w:val="none"/>
              </w:rPr>
              <w:t>GB 4706.1-2005</w:t>
            </w:r>
            <w:r>
              <w:rPr>
                <w:rFonts w:hint="eastAsia" w:ascii="仿宋" w:hAnsi="仿宋" w:eastAsia="仿宋" w:cs="仿宋"/>
                <w:bCs/>
                <w:color w:val="000000"/>
                <w:kern w:val="0"/>
                <w:sz w:val="24"/>
                <w:szCs w:val="24"/>
                <w:highlight w:val="none"/>
                <w:lang w:val="en-US" w:eastAsia="zh-CN"/>
              </w:rPr>
              <w:t>及相关产品标准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63" w:hRule="atLeast"/>
          <w:jc w:val="center"/>
        </w:trPr>
        <w:tc>
          <w:tcPr>
            <w:tcW w:w="483"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sz w:val="24"/>
                <w:szCs w:val="24"/>
                <w:highlight w:val="none"/>
                <w:lang w:eastAsia="en-US"/>
              </w:rPr>
              <w:t>6</w:t>
            </w:r>
          </w:p>
        </w:tc>
        <w:tc>
          <w:tcPr>
            <w:tcW w:w="2362" w:type="pct"/>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非正常工作（只进行5层</w:t>
            </w:r>
          </w:p>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折叠试验）</w:t>
            </w:r>
          </w:p>
        </w:tc>
        <w:tc>
          <w:tcPr>
            <w:tcW w:w="2155"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bCs/>
                <w:color w:val="000000"/>
                <w:kern w:val="0"/>
                <w:sz w:val="24"/>
                <w:szCs w:val="24"/>
                <w:highlight w:val="none"/>
              </w:rPr>
              <w:t>GB 4706.1-2005</w:t>
            </w:r>
            <w:r>
              <w:rPr>
                <w:rFonts w:hint="eastAsia" w:ascii="仿宋" w:hAnsi="仿宋" w:eastAsia="仿宋" w:cs="仿宋"/>
                <w:bCs/>
                <w:color w:val="000000"/>
                <w:kern w:val="0"/>
                <w:sz w:val="24"/>
                <w:szCs w:val="24"/>
                <w:highlight w:val="none"/>
                <w:lang w:val="en-US" w:eastAsia="zh-CN"/>
              </w:rPr>
              <w:t>及相关产品标准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jc w:val="center"/>
        </w:trPr>
        <w:tc>
          <w:tcPr>
            <w:tcW w:w="483"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sz w:val="24"/>
                <w:szCs w:val="24"/>
                <w:highlight w:val="none"/>
                <w:lang w:eastAsia="en-US"/>
              </w:rPr>
              <w:t>7</w:t>
            </w:r>
          </w:p>
        </w:tc>
        <w:tc>
          <w:tcPr>
            <w:tcW w:w="2362" w:type="pct"/>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机械强度（只进行动</w:t>
            </w:r>
          </w:p>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负载试验）</w:t>
            </w:r>
          </w:p>
        </w:tc>
        <w:tc>
          <w:tcPr>
            <w:tcW w:w="2155"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bCs/>
                <w:color w:val="000000"/>
                <w:kern w:val="0"/>
                <w:sz w:val="24"/>
                <w:szCs w:val="24"/>
                <w:highlight w:val="none"/>
              </w:rPr>
              <w:t>GB 4706.1-2005</w:t>
            </w:r>
            <w:r>
              <w:rPr>
                <w:rFonts w:hint="eastAsia" w:ascii="仿宋" w:hAnsi="仿宋" w:eastAsia="仿宋" w:cs="仿宋"/>
                <w:bCs/>
                <w:color w:val="000000"/>
                <w:kern w:val="0"/>
                <w:sz w:val="24"/>
                <w:szCs w:val="24"/>
                <w:highlight w:val="none"/>
                <w:lang w:val="en-US" w:eastAsia="zh-CN"/>
              </w:rPr>
              <w:t>及相关产品标准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30" w:hRule="atLeast"/>
          <w:jc w:val="center"/>
        </w:trPr>
        <w:tc>
          <w:tcPr>
            <w:tcW w:w="483"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sz w:val="24"/>
                <w:szCs w:val="24"/>
                <w:highlight w:val="none"/>
                <w:lang w:eastAsia="en-US"/>
              </w:rPr>
              <w:t>8</w:t>
            </w:r>
          </w:p>
        </w:tc>
        <w:tc>
          <w:tcPr>
            <w:tcW w:w="2362"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sz w:val="24"/>
                <w:szCs w:val="24"/>
                <w:highlight w:val="none"/>
                <w:lang w:eastAsia="en-US"/>
              </w:rPr>
              <w:t>内部布线</w:t>
            </w:r>
          </w:p>
        </w:tc>
        <w:tc>
          <w:tcPr>
            <w:tcW w:w="2155"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bCs/>
                <w:color w:val="000000"/>
                <w:kern w:val="0"/>
                <w:sz w:val="24"/>
                <w:szCs w:val="24"/>
                <w:highlight w:val="none"/>
              </w:rPr>
              <w:t>GB 4706.1-2005</w:t>
            </w:r>
            <w:r>
              <w:rPr>
                <w:rFonts w:hint="eastAsia" w:ascii="仿宋" w:hAnsi="仿宋" w:eastAsia="仿宋" w:cs="仿宋"/>
                <w:bCs/>
                <w:color w:val="000000"/>
                <w:kern w:val="0"/>
                <w:sz w:val="24"/>
                <w:szCs w:val="24"/>
                <w:highlight w:val="none"/>
                <w:lang w:val="en-US" w:eastAsia="zh-CN"/>
              </w:rPr>
              <w:t>及相关产品标准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82" w:hRule="atLeast"/>
          <w:jc w:val="center"/>
        </w:trPr>
        <w:tc>
          <w:tcPr>
            <w:tcW w:w="483"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sz w:val="24"/>
                <w:szCs w:val="24"/>
                <w:highlight w:val="none"/>
                <w:lang w:eastAsia="en-US"/>
              </w:rPr>
              <w:t>9</w:t>
            </w:r>
          </w:p>
        </w:tc>
        <w:tc>
          <w:tcPr>
            <w:tcW w:w="2362"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sz w:val="24"/>
                <w:szCs w:val="24"/>
                <w:highlight w:val="none"/>
                <w:lang w:eastAsia="en-US"/>
              </w:rPr>
              <w:t>电源连接和外部软线</w:t>
            </w:r>
          </w:p>
        </w:tc>
        <w:tc>
          <w:tcPr>
            <w:tcW w:w="2155" w:type="pct"/>
            <w:noWrap w:val="0"/>
            <w:vAlign w:val="center"/>
          </w:tcPr>
          <w:p>
            <w:pPr>
              <w:snapToGrid w:val="0"/>
              <w:jc w:val="center"/>
              <w:rPr>
                <w:rFonts w:hint="eastAsia" w:ascii="仿宋" w:hAnsi="仿宋" w:eastAsia="仿宋" w:cs="仿宋"/>
                <w:sz w:val="24"/>
                <w:szCs w:val="24"/>
                <w:highlight w:val="none"/>
                <w:lang w:eastAsia="en-US"/>
              </w:rPr>
            </w:pPr>
            <w:r>
              <w:rPr>
                <w:rFonts w:hint="eastAsia" w:ascii="仿宋" w:hAnsi="仿宋" w:eastAsia="仿宋" w:cs="仿宋"/>
                <w:bCs/>
                <w:color w:val="000000"/>
                <w:kern w:val="0"/>
                <w:sz w:val="24"/>
                <w:szCs w:val="24"/>
                <w:highlight w:val="none"/>
              </w:rPr>
              <w:t>GB 4706.1-2005</w:t>
            </w:r>
            <w:r>
              <w:rPr>
                <w:rFonts w:hint="eastAsia" w:ascii="仿宋" w:hAnsi="仿宋" w:eastAsia="仿宋" w:cs="仿宋"/>
                <w:bCs/>
                <w:color w:val="000000"/>
                <w:kern w:val="0"/>
                <w:sz w:val="24"/>
                <w:szCs w:val="24"/>
                <w:highlight w:val="none"/>
                <w:lang w:val="en-US" w:eastAsia="zh-CN"/>
              </w:rPr>
              <w:t>及相关产品标准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2" w:hRule="atLeast"/>
          <w:jc w:val="center"/>
        </w:trPr>
        <w:tc>
          <w:tcPr>
            <w:tcW w:w="5000" w:type="pct"/>
            <w:gridSpan w:val="3"/>
            <w:noWrap w:val="0"/>
            <w:vAlign w:val="center"/>
          </w:tcPr>
          <w:p>
            <w:pPr>
              <w:snapToGrid w:val="0"/>
              <w:jc w:val="left"/>
              <w:rPr>
                <w:rFonts w:hint="eastAsia" w:ascii="仿宋" w:hAnsi="仿宋" w:eastAsia="仿宋" w:cs="仿宋"/>
                <w:sz w:val="24"/>
                <w:szCs w:val="24"/>
                <w:highlight w:val="none"/>
              </w:rPr>
            </w:pPr>
            <w:r>
              <w:rPr>
                <w:rFonts w:hint="eastAsia" w:ascii="仿宋" w:hAnsi="仿宋" w:eastAsia="仿宋" w:cs="仿宋"/>
                <w:b/>
                <w:bCs/>
                <w:sz w:val="24"/>
                <w:szCs w:val="24"/>
                <w:highlight w:val="none"/>
              </w:rPr>
              <w:t>备注：</w:t>
            </w:r>
            <w:r>
              <w:rPr>
                <w:rFonts w:hint="eastAsia" w:ascii="仿宋" w:hAnsi="仿宋" w:eastAsia="仿宋" w:cs="仿宋"/>
                <w:sz w:val="24"/>
                <w:szCs w:val="24"/>
                <w:highlight w:val="none"/>
              </w:rPr>
              <w:t>检验项目做检验方法中标准对应的条款。</w:t>
            </w:r>
          </w:p>
        </w:tc>
      </w:tr>
    </w:tbl>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 判定规则</w:t>
      </w:r>
    </w:p>
    <w:p>
      <w:pPr>
        <w:adjustRightInd w:val="0"/>
        <w:snapToGrid w:val="0"/>
        <w:spacing w:line="560" w:lineRule="exac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3.1依据标准</w:t>
      </w:r>
    </w:p>
    <w:p>
      <w:pPr>
        <w:adjustRightInd w:val="0"/>
        <w:snapToGrid w:val="0"/>
        <w:spacing w:line="560"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GB</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4706.1-2005/IEC60335-1：2004（Ed4.1）家用和类似用途电器的安全  第1部分：通用要求</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及</w:t>
      </w:r>
      <w:r>
        <w:rPr>
          <w:rFonts w:hint="eastAsia" w:ascii="仿宋" w:hAnsi="仿宋" w:eastAsia="仿宋" w:cs="仿宋"/>
          <w:color w:val="000000"/>
          <w:sz w:val="24"/>
          <w:szCs w:val="24"/>
          <w:highlight w:val="none"/>
        </w:rPr>
        <w:t>现行有效的企业标准、团体标准、地方标准及产品明示质量要求</w:t>
      </w:r>
    </w:p>
    <w:p>
      <w:pPr>
        <w:adjustRightInd w:val="0"/>
        <w:snapToGrid w:val="0"/>
        <w:spacing w:line="560" w:lineRule="exac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3.2判定原则</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经检验，检验项目全部合格，判定为被抽查产品合格；检验项目中任一项或一项以上不合格，判定为被抽查产品不合格。</w:t>
      </w:r>
    </w:p>
    <w:p>
      <w:pPr>
        <w:adjustRightInd w:val="0"/>
        <w:snapToGrid w:val="0"/>
        <w:spacing w:line="56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adjustRightInd w:val="0"/>
        <w:snapToGrid w:val="0"/>
        <w:spacing w:line="56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adjustRightInd w:val="0"/>
        <w:snapToGrid w:val="0"/>
        <w:spacing w:line="56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adjustRightInd w:val="0"/>
        <w:snapToGrid w:val="0"/>
        <w:spacing w:line="56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adjustRightInd w:val="0"/>
        <w:snapToGrid w:val="0"/>
        <w:spacing w:line="56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57311A62"/>
    <w:rsid w:val="10602945"/>
    <w:rsid w:val="11BF7A14"/>
    <w:rsid w:val="14CD52E3"/>
    <w:rsid w:val="29F611D8"/>
    <w:rsid w:val="2FE059A7"/>
    <w:rsid w:val="349B05D2"/>
    <w:rsid w:val="3D73184C"/>
    <w:rsid w:val="3D927079"/>
    <w:rsid w:val="408366A3"/>
    <w:rsid w:val="49B74219"/>
    <w:rsid w:val="57311A62"/>
    <w:rsid w:val="5945183F"/>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2022-12-09T08:41:00Z</dcterms:created>
  <dc:creator>天正检测</dc:creator>
  <cp:lastModifiedBy>天正检测</cp:lastModifiedBy>
  <dcterms:modified xsi:type="dcterms:W3CDTF">2022-12-09T08:41:23Z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486E55388A71446CABAAE50802384DEC</vt:lpwstr>
  </property>
</Properties>
</file>