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94"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湿巾产品质量监督抽查实施细则</w:t>
      </w:r>
    </w:p>
    <w:p>
      <w:pPr>
        <w:keepNext w:val="0"/>
        <w:keepLines w:val="0"/>
        <w:pageBreakBefore w:val="0"/>
        <w:widowControl w:val="0"/>
        <w:kinsoku/>
        <w:wordWrap/>
        <w:overflowPunct/>
        <w:topLinePunct w:val="0"/>
        <w:autoSpaceDE/>
        <w:autoSpaceDN/>
        <w:bidi w:val="0"/>
        <w:spacing w:line="5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本细则适用市场监督管理局组织的湿巾产品质量监督抽查。本细则规定了此产品的抽样方法、检验依据、检验项目、检验方法、判定原则等。</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以随机抽样方式在被抽样生产者、销售者的待销产品中抽取。</w:t>
      </w:r>
    </w:p>
    <w:p>
      <w:pPr>
        <w:keepNext w:val="0"/>
        <w:keepLines w:val="0"/>
        <w:pageBreakBefore w:val="0"/>
        <w:widowControl w:val="0"/>
        <w:kinsoku/>
        <w:wordWrap/>
        <w:overflowPunct/>
        <w:topLinePunct w:val="0"/>
        <w:autoSpaceDE/>
        <w:autoSpaceDN/>
        <w:bidi w:val="0"/>
        <w:snapToGrid w:val="0"/>
        <w:spacing w:line="560" w:lineRule="exact"/>
        <w:ind w:firstLine="480" w:firstLineChars="200"/>
        <w:textAlignment w:val="auto"/>
        <w:rPr>
          <w:rFonts w:hint="eastAsia" w:ascii="仿宋" w:hAnsi="仿宋" w:eastAsia="仿宋" w:cs="仿宋"/>
          <w:color w:val="000000"/>
          <w:spacing w:val="-6"/>
          <w:sz w:val="24"/>
          <w:szCs w:val="24"/>
          <w:highlight w:val="none"/>
        </w:rPr>
      </w:pPr>
      <w:r>
        <w:rPr>
          <w:rFonts w:hint="eastAsia" w:ascii="仿宋" w:hAnsi="仿宋" w:eastAsia="仿宋" w:cs="仿宋"/>
          <w:color w:val="000000"/>
          <w:sz w:val="24"/>
          <w:szCs w:val="24"/>
          <w:highlight w:val="none"/>
        </w:rPr>
        <w:t>随</w:t>
      </w:r>
      <w:r>
        <w:rPr>
          <w:rFonts w:hint="eastAsia" w:ascii="仿宋" w:hAnsi="仿宋" w:eastAsia="仿宋" w:cs="仿宋"/>
          <w:color w:val="000000"/>
          <w:spacing w:val="-6"/>
          <w:sz w:val="24"/>
          <w:szCs w:val="24"/>
          <w:highlight w:val="none"/>
        </w:rPr>
        <w:t>机数一般可使用随机数表、随机数骰子或扑克牌等方法产生。</w:t>
      </w:r>
    </w:p>
    <w:p>
      <w:pPr>
        <w:adjustRightInd w:val="0"/>
        <w:snapToGrid w:val="0"/>
        <w:spacing w:before="156" w:beforeLines="50" w:line="560" w:lineRule="exact"/>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表1 样品抽取数量</w:t>
      </w:r>
    </w:p>
    <w:tbl>
      <w:tblPr>
        <w:tblStyle w:val="7"/>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1560"/>
        <w:gridCol w:w="1842"/>
        <w:gridCol w:w="2172"/>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产品种类</w:t>
            </w:r>
          </w:p>
        </w:tc>
        <w:tc>
          <w:tcPr>
            <w:tcW w:w="184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抽样数量（包）</w:t>
            </w:r>
          </w:p>
        </w:tc>
        <w:tc>
          <w:tcPr>
            <w:tcW w:w="21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检验样品数量（包）</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备用样品数量（包）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湿巾</w:t>
            </w:r>
          </w:p>
        </w:tc>
        <w:tc>
          <w:tcPr>
            <w:tcW w:w="184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21</w:t>
            </w:r>
          </w:p>
        </w:tc>
        <w:tc>
          <w:tcPr>
            <w:tcW w:w="217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r>
    </w:tbl>
    <w:p>
      <w:pPr>
        <w:adjustRightInd w:val="0"/>
        <w:snapToGrid w:val="0"/>
        <w:spacing w:before="156" w:beforeLines="50" w:line="560" w:lineRule="exact"/>
        <w:ind w:firstLine="480" w:firstLineChars="200"/>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2 检验依据</w:t>
      </w:r>
    </w:p>
    <w:p>
      <w:pPr>
        <w:adjustRightInd w:val="0"/>
        <w:snapToGrid w:val="0"/>
        <w:spacing w:before="156" w:beforeLines="50" w:line="560" w:lineRule="exact"/>
        <w:jc w:val="center"/>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 xml:space="preserve">表2 </w:t>
      </w:r>
      <w:r>
        <w:rPr>
          <w:rFonts w:hint="eastAsia" w:ascii="仿宋" w:hAnsi="仿宋" w:eastAsia="仿宋" w:cs="仿宋"/>
          <w:b/>
          <w:bCs/>
          <w:color w:val="000000"/>
          <w:kern w:val="0"/>
          <w:sz w:val="24"/>
          <w:szCs w:val="24"/>
          <w:highlight w:val="none"/>
          <w:lang w:val="zh-CN"/>
        </w:rPr>
        <w:t>湿巾（</w:t>
      </w:r>
      <w:r>
        <w:rPr>
          <w:rFonts w:hint="eastAsia" w:ascii="仿宋" w:hAnsi="仿宋" w:eastAsia="仿宋" w:cs="仿宋"/>
          <w:b/>
          <w:bCs/>
          <w:color w:val="000000"/>
          <w:kern w:val="0"/>
          <w:sz w:val="24"/>
          <w:szCs w:val="24"/>
          <w:highlight w:val="none"/>
        </w:rPr>
        <w:t>GB/T 27728-2011</w:t>
      </w:r>
      <w:r>
        <w:rPr>
          <w:rFonts w:hint="eastAsia" w:ascii="仿宋" w:hAnsi="仿宋" w:eastAsia="仿宋" w:cs="仿宋"/>
          <w:b/>
          <w:bCs/>
          <w:color w:val="000000"/>
          <w:kern w:val="0"/>
          <w:sz w:val="24"/>
          <w:szCs w:val="24"/>
          <w:highlight w:val="none"/>
          <w:lang w:val="zh-CN"/>
        </w:rPr>
        <w:t>）</w:t>
      </w:r>
    </w:p>
    <w:tbl>
      <w:tblPr>
        <w:tblStyle w:val="7"/>
        <w:tblW w:w="40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59"/>
        <w:gridCol w:w="1975"/>
        <w:gridCol w:w="3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2032" w:type="pct"/>
            <w:gridSpan w:val="2"/>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检验项目</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2032" w:type="pct"/>
            <w:gridSpan w:val="2"/>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细菌菌落总数</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616" w:type="pct"/>
            <w:vMerge w:val="restar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致病性化脓菌</w:t>
            </w:r>
          </w:p>
        </w:tc>
        <w:tc>
          <w:tcPr>
            <w:tcW w:w="1416"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绿脓杆菌</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616" w:type="pct"/>
            <w:vMerge w:val="continue"/>
            <w:noWrap w:val="0"/>
            <w:vAlign w:val="center"/>
          </w:tcPr>
          <w:p>
            <w:pPr>
              <w:adjustRightInd w:val="0"/>
              <w:snapToGrid w:val="0"/>
              <w:jc w:val="center"/>
              <w:rPr>
                <w:rFonts w:hint="eastAsia" w:ascii="仿宋" w:hAnsi="仿宋" w:eastAsia="仿宋" w:cs="仿宋"/>
                <w:color w:val="000000"/>
                <w:sz w:val="24"/>
                <w:szCs w:val="24"/>
                <w:highlight w:val="none"/>
              </w:rPr>
            </w:pPr>
          </w:p>
        </w:tc>
        <w:tc>
          <w:tcPr>
            <w:tcW w:w="1416"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金黄色葡萄球菌</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616" w:type="pct"/>
            <w:vMerge w:val="continue"/>
            <w:noWrap w:val="0"/>
            <w:vAlign w:val="center"/>
          </w:tcPr>
          <w:p>
            <w:pPr>
              <w:adjustRightInd w:val="0"/>
              <w:snapToGrid w:val="0"/>
              <w:jc w:val="center"/>
              <w:rPr>
                <w:rFonts w:hint="eastAsia" w:ascii="仿宋" w:hAnsi="仿宋" w:eastAsia="仿宋" w:cs="仿宋"/>
                <w:color w:val="000000"/>
                <w:sz w:val="24"/>
                <w:szCs w:val="24"/>
                <w:highlight w:val="none"/>
              </w:rPr>
            </w:pPr>
          </w:p>
        </w:tc>
        <w:tc>
          <w:tcPr>
            <w:tcW w:w="1416"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溶血性链球菌</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2032" w:type="pct"/>
            <w:gridSpan w:val="2"/>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大肠菌群</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2032" w:type="pct"/>
            <w:gridSpan w:val="2"/>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真菌菌落总数</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2032" w:type="pct"/>
            <w:gridSpan w:val="2"/>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含液量</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27728-2011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2032" w:type="pct"/>
            <w:gridSpan w:val="2"/>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横向抗张强度</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12914-2008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p>
        </w:tc>
        <w:tc>
          <w:tcPr>
            <w:tcW w:w="2032" w:type="pct"/>
            <w:gridSpan w:val="2"/>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包装密封性</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22728-2011中附录A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w:t>
            </w:r>
          </w:p>
        </w:tc>
        <w:tc>
          <w:tcPr>
            <w:tcW w:w="2032" w:type="pct"/>
            <w:gridSpan w:val="2"/>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pH</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1545-2008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w:t>
            </w:r>
          </w:p>
        </w:tc>
        <w:tc>
          <w:tcPr>
            <w:tcW w:w="2032" w:type="pct"/>
            <w:gridSpan w:val="2"/>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可迁移性荧光增白剂</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22728-2011中附录D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w:t>
            </w:r>
          </w:p>
        </w:tc>
        <w:tc>
          <w:tcPr>
            <w:tcW w:w="2032" w:type="pct"/>
            <w:gridSpan w:val="2"/>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去污力</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22728-2011中附录B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0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w:t>
            </w:r>
          </w:p>
        </w:tc>
        <w:tc>
          <w:tcPr>
            <w:tcW w:w="2032" w:type="pct"/>
            <w:gridSpan w:val="2"/>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腐蚀性</w:t>
            </w:r>
          </w:p>
        </w:tc>
        <w:tc>
          <w:tcPr>
            <w:tcW w:w="2368"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22728-2011中附录C</w:t>
            </w:r>
          </w:p>
        </w:tc>
      </w:tr>
    </w:tbl>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adjustRightInd w:val="0"/>
        <w:snapToGrid w:val="0"/>
        <w:spacing w:line="560" w:lineRule="exact"/>
        <w:ind w:firstLine="480" w:firstLineChars="200"/>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3 判定规则</w:t>
      </w:r>
    </w:p>
    <w:p>
      <w:pPr>
        <w:adjustRightInd w:val="0"/>
        <w:snapToGrid w:val="0"/>
        <w:spacing w:line="560" w:lineRule="exac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3.1依据标准</w:t>
      </w:r>
    </w:p>
    <w:p>
      <w:pPr>
        <w:adjustRightInd w:val="0"/>
        <w:snapToGrid w:val="0"/>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 15979-2002《一次性使用卫生用品卫生标准》</w:t>
      </w:r>
    </w:p>
    <w:p>
      <w:pPr>
        <w:adjustRightInd w:val="0"/>
        <w:snapToGrid w:val="0"/>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GB/T 27728-2011《湿巾》</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adjustRightInd w:val="0"/>
        <w:snapToGrid w:val="0"/>
        <w:spacing w:line="560" w:lineRule="exact"/>
        <w:ind w:firstLine="482" w:firstLineChars="200"/>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3.2判定原则</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经检验，检验项目全部合格，判定为被抽查产品合格；检验项目中任一项或一项以上不合格，判定为被抽查产品不合格。</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adjustRightInd w:val="0"/>
        <w:snapToGrid w:val="0"/>
        <w:spacing w:line="56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pPr>
        <w:snapToGrid w:val="0"/>
        <w:spacing w:line="594"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微生物项目不合格不进行复检。</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4EAF1BD1"/>
    <w:rsid w:val="10602945"/>
    <w:rsid w:val="11BF7A14"/>
    <w:rsid w:val="14CD52E3"/>
    <w:rsid w:val="29F611D8"/>
    <w:rsid w:val="2FE059A7"/>
    <w:rsid w:val="349B05D2"/>
    <w:rsid w:val="3D73184C"/>
    <w:rsid w:val="3D927079"/>
    <w:rsid w:val="408366A3"/>
    <w:rsid w:val="49B74219"/>
    <w:rsid w:val="4EAF1BD1"/>
    <w:rsid w:val="5945183F"/>
    <w:rsid w:val="5EBB78A0"/>
    <w:rsid w:val="62565992"/>
    <w:rsid w:val="74AE0A1F"/>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2022-12-09T08:39:00Z</dcterms:created>
  <dc:creator>天正检测</dc:creator>
  <cp:lastModifiedBy>天正检测</cp:lastModifiedBy>
  <dcterms:modified xsi:type="dcterms:W3CDTF">2022-12-09T08:39:33Z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8E1832F2AB56409B982AFF6643FC4D34</vt:lpwstr>
  </property>
</Properties>
</file>