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灭火器产品质量监督抽查实施细则</w:t>
      </w:r>
    </w:p>
    <w:p>
      <w:pPr>
        <w:keepNext w:val="0"/>
        <w:keepLines w:val="0"/>
        <w:pageBreakBefore w:val="0"/>
        <w:widowControl w:val="0"/>
        <w:kinsoku/>
        <w:wordWrap/>
        <w:overflowPunct/>
        <w:topLinePunct w:val="0"/>
        <w:autoSpaceDE/>
        <w:autoSpaceDN/>
        <w:bidi w:val="0"/>
        <w:adjustRightInd w:val="0"/>
        <w:snapToGrid w:val="0"/>
        <w:spacing w:line="324" w:lineRule="auto"/>
        <w:textAlignment w:val="auto"/>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US" w:eastAsia="zh-CN"/>
        </w:rPr>
        <w:t xml:space="preserve">1 </w:t>
      </w:r>
      <w:r>
        <w:rPr>
          <w:rFonts w:hint="eastAsia" w:ascii="宋体" w:hAnsi="宋体" w:eastAsia="宋体" w:cs="宋体"/>
          <w:color w:val="000000"/>
          <w:sz w:val="28"/>
          <w:szCs w:val="28"/>
          <w:lang w:val="en-GB"/>
        </w:rPr>
        <w:t>抽样方法</w:t>
      </w:r>
    </w:p>
    <w:p>
      <w:pPr>
        <w:keepNext w:val="0"/>
        <w:keepLines w:val="0"/>
        <w:pageBreakBefore w:val="0"/>
        <w:widowControl w:val="0"/>
        <w:kinsoku/>
        <w:wordWrap/>
        <w:overflowPunct/>
        <w:topLinePunct w:val="0"/>
        <w:autoSpaceDE/>
        <w:autoSpaceDN/>
        <w:bidi w:val="0"/>
        <w:adjustRightInd w:val="0"/>
        <w:snapToGrid w:val="0"/>
        <w:spacing w:line="324" w:lineRule="auto"/>
        <w:ind w:firstLine="557" w:firstLineChars="199"/>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以随机抽样的方式</w:t>
      </w:r>
      <w:r>
        <w:rPr>
          <w:rFonts w:hint="eastAsia" w:ascii="宋体" w:hAnsi="宋体" w:eastAsia="宋体" w:cs="宋体"/>
          <w:color w:val="000000"/>
          <w:sz w:val="28"/>
          <w:szCs w:val="28"/>
          <w:lang w:eastAsia="zh-CN"/>
        </w:rPr>
        <w:t>抽取检验样品和备用样品</w:t>
      </w:r>
      <w:r>
        <w:rPr>
          <w:rFonts w:hint="eastAsia" w:ascii="宋体" w:hAnsi="宋体" w:eastAsia="宋体" w:cs="宋体"/>
          <w:color w:val="000000"/>
          <w:sz w:val="28"/>
          <w:szCs w:val="28"/>
          <w:lang w:val="en-US" w:eastAsia="zh-CN"/>
        </w:rPr>
        <w:t>。</w:t>
      </w:r>
    </w:p>
    <w:p>
      <w:pPr>
        <w:keepNext w:val="0"/>
        <w:keepLines w:val="0"/>
        <w:pageBreakBefore w:val="0"/>
        <w:widowControl w:val="0"/>
        <w:kinsoku/>
        <w:wordWrap/>
        <w:overflowPunct/>
        <w:topLinePunct w:val="0"/>
        <w:autoSpaceDE/>
        <w:autoSpaceDN/>
        <w:bidi w:val="0"/>
        <w:adjustRightInd w:val="0"/>
        <w:snapToGrid w:val="0"/>
        <w:spacing w:line="324" w:lineRule="auto"/>
        <w:ind w:firstLine="557" w:firstLineChars="199"/>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rPr>
        <w:t>每批次产品抽取样品6具，其中3具作为检验样品，3具作为备用样品</w:t>
      </w:r>
      <w:r>
        <w:rPr>
          <w:rFonts w:hint="eastAsia" w:ascii="宋体" w:hAnsi="宋体" w:cs="宋体"/>
          <w:color w:val="000000"/>
          <w:sz w:val="28"/>
          <w:szCs w:val="28"/>
          <w:lang w:val="en-GB" w:eastAsia="zh-CN"/>
        </w:rPr>
        <w:t>。</w:t>
      </w:r>
    </w:p>
    <w:p>
      <w:pPr>
        <w:pStyle w:val="3"/>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US" w:eastAsia="zh-CN"/>
        </w:rPr>
        <w:t xml:space="preserve">2 </w:t>
      </w:r>
      <w:r>
        <w:rPr>
          <w:rFonts w:hint="eastAsia" w:ascii="宋体" w:hAnsi="宋体" w:eastAsia="宋体" w:cs="宋体"/>
          <w:color w:val="000000"/>
          <w:sz w:val="28"/>
          <w:szCs w:val="28"/>
          <w:lang w:val="en-GB"/>
        </w:rPr>
        <w:t>检验依据</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GB" w:eastAsia="zh-CN"/>
        </w:rPr>
      </w:pPr>
      <w:r>
        <w:rPr>
          <w:rFonts w:hint="eastAsia" w:ascii="宋体" w:hAnsi="宋体" w:eastAsia="宋体" w:cs="宋体"/>
          <w:b w:val="0"/>
          <w:bCs w:val="0"/>
          <w:color w:val="000000"/>
          <w:sz w:val="28"/>
          <w:szCs w:val="28"/>
          <w:lang w:val="en-GB" w:eastAsia="zh-CN"/>
        </w:rPr>
        <w:t>表</w:t>
      </w:r>
      <w:r>
        <w:rPr>
          <w:rFonts w:hint="eastAsia" w:ascii="宋体" w:hAnsi="宋体" w:cs="宋体"/>
          <w:b w:val="0"/>
          <w:bCs w:val="0"/>
          <w:color w:val="000000"/>
          <w:sz w:val="28"/>
          <w:szCs w:val="28"/>
          <w:lang w:val="en-US" w:eastAsia="zh-CN"/>
        </w:rPr>
        <w:t>1</w:t>
      </w:r>
      <w:r>
        <w:rPr>
          <w:rFonts w:hint="eastAsia" w:ascii="宋体" w:hAnsi="宋体" w:eastAsia="宋体" w:cs="宋体"/>
          <w:b w:val="0"/>
          <w:bCs w:val="0"/>
          <w:color w:val="000000"/>
          <w:sz w:val="28"/>
          <w:szCs w:val="28"/>
          <w:lang w:val="en-US" w:eastAsia="zh-CN"/>
        </w:rPr>
        <w:t xml:space="preserve"> 灭火器</w:t>
      </w:r>
      <w:r>
        <w:rPr>
          <w:rFonts w:hint="eastAsia" w:ascii="宋体" w:hAnsi="宋体" w:eastAsia="宋体" w:cs="宋体"/>
          <w:b w:val="0"/>
          <w:bCs w:val="0"/>
          <w:color w:val="000000"/>
          <w:sz w:val="28"/>
          <w:szCs w:val="28"/>
          <w:lang w:val="en-GB" w:eastAsia="zh-CN"/>
        </w:rPr>
        <w:t>检验项目</w:t>
      </w:r>
    </w:p>
    <w:tbl>
      <w:tblPr>
        <w:tblStyle w:val="5"/>
        <w:tblW w:w="4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4001"/>
        <w:gridCol w:w="3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blHeader/>
          <w:jc w:val="center"/>
        </w:trPr>
        <w:tc>
          <w:tcPr>
            <w:tcW w:w="72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2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灭火器的总质量</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2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灭火剂充装总量误差</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2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20℃温度喷射性能</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2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充装口内径</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2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筒体水压试验</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2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筒体爆破压力</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2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7</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灭火器提把和压把</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2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8</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标志和颜色</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4351.1-2005</w:t>
            </w:r>
          </w:p>
        </w:tc>
      </w:tr>
    </w:tbl>
    <w:p>
      <w:pPr>
        <w:keepNext w:val="0"/>
        <w:keepLines w:val="0"/>
        <w:pageBreakBefore w:val="0"/>
        <w:widowControl w:val="0"/>
        <w:kinsoku/>
        <w:wordWrap/>
        <w:overflowPunct/>
        <w:topLinePunct w:val="0"/>
        <w:autoSpaceDE/>
        <w:autoSpaceDN/>
        <w:bidi w:val="0"/>
        <w:spacing w:line="360" w:lineRule="auto"/>
        <w:ind w:firstLine="560" w:firstLineChars="200"/>
        <w:textAlignment w:val="auto"/>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注：执行企业标准、团体标准、</w:t>
      </w:r>
      <w:bookmarkStart w:id="0" w:name="_GoBack"/>
      <w:bookmarkEnd w:id="0"/>
      <w:r>
        <w:rPr>
          <w:rFonts w:hint="eastAsia" w:ascii="宋体" w:hAnsi="宋体" w:eastAsia="宋体" w:cs="宋体"/>
          <w:bCs/>
          <w:sz w:val="28"/>
          <w:szCs w:val="28"/>
          <w:lang w:val="en-US" w:eastAsia="zh-CN"/>
        </w:rPr>
        <w:t>地方标准的产品，检验项目参照上述内容执行。</w:t>
      </w:r>
    </w:p>
    <w:p>
      <w:pPr>
        <w:keepNext w:val="0"/>
        <w:keepLines w:val="0"/>
        <w:pageBreakBefore w:val="0"/>
        <w:widowControl w:val="0"/>
        <w:kinsoku/>
        <w:wordWrap/>
        <w:overflowPunct/>
        <w:topLinePunct w:val="0"/>
        <w:autoSpaceDE/>
        <w:autoSpaceDN/>
        <w:bidi w:val="0"/>
        <w:spacing w:line="360" w:lineRule="auto"/>
        <w:ind w:firstLine="560" w:firstLineChars="200"/>
        <w:textAlignment w:val="auto"/>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spacing w:line="360" w:lineRule="auto"/>
        <w:ind w:firstLine="560" w:firstLineChars="200"/>
        <w:textAlignment w:val="auto"/>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Cs/>
          <w:sz w:val="28"/>
          <w:szCs w:val="28"/>
          <w:lang w:val="en-GB"/>
        </w:rPr>
      </w:pPr>
      <w:r>
        <w:rPr>
          <w:rFonts w:hint="eastAsia" w:ascii="宋体" w:hAnsi="宋体" w:eastAsia="宋体" w:cs="宋体"/>
          <w:bCs/>
          <w:sz w:val="28"/>
          <w:szCs w:val="28"/>
          <w:lang w:val="en-US" w:eastAsia="zh-CN"/>
        </w:rPr>
        <w:t xml:space="preserve">3 </w:t>
      </w:r>
      <w:r>
        <w:rPr>
          <w:rFonts w:hint="eastAsia" w:ascii="宋体" w:hAnsi="宋体" w:eastAsia="宋体" w:cs="宋体"/>
          <w:bCs/>
          <w:sz w:val="28"/>
          <w:szCs w:val="28"/>
          <w:lang w:val="en-GB"/>
        </w:rPr>
        <w:t>判定规则</w:t>
      </w:r>
    </w:p>
    <w:p>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sz w:val="28"/>
          <w:szCs w:val="28"/>
          <w:lang w:val="en-GB"/>
        </w:rPr>
      </w:pPr>
      <w:r>
        <w:rPr>
          <w:rFonts w:hint="eastAsia" w:ascii="宋体" w:hAnsi="宋体" w:eastAsia="宋体" w:cs="宋体"/>
          <w:sz w:val="28"/>
          <w:szCs w:val="28"/>
          <w:lang w:val="en-US" w:eastAsia="zh-CN"/>
        </w:rPr>
        <w:t>3.1</w:t>
      </w:r>
      <w:r>
        <w:rPr>
          <w:rFonts w:hint="eastAsia" w:ascii="宋体" w:hAnsi="宋体" w:eastAsia="宋体" w:cs="宋体"/>
          <w:sz w:val="28"/>
          <w:szCs w:val="28"/>
          <w:lang w:val="en-GB"/>
        </w:rPr>
        <w:t>依据标准</w:t>
      </w:r>
    </w:p>
    <w:p>
      <w:pPr>
        <w:pStyle w:val="3"/>
        <w:keepNext w:val="0"/>
        <w:keepLines w:val="0"/>
        <w:pageBreakBefore w:val="0"/>
        <w:widowControl w:val="0"/>
        <w:kinsoku/>
        <w:wordWrap/>
        <w:overflowPunct/>
        <w:topLinePunct w:val="0"/>
        <w:autoSpaceDE/>
        <w:autoSpaceDN/>
        <w:bidi w:val="0"/>
        <w:spacing w:after="0" w:afterLines="0" w:line="360" w:lineRule="auto"/>
        <w:ind w:firstLine="560" w:firstLineChars="200"/>
        <w:textAlignment w:val="auto"/>
        <w:rPr>
          <w:rFonts w:hint="eastAsia" w:ascii="宋体" w:hAnsi="宋体" w:eastAsia="宋体" w:cs="宋体"/>
          <w:color w:val="000000"/>
          <w:kern w:val="2"/>
          <w:sz w:val="28"/>
          <w:szCs w:val="28"/>
          <w:lang w:val="en-GB" w:eastAsia="zh-CN" w:bidi="ar-SA"/>
        </w:rPr>
      </w:pPr>
      <w:r>
        <w:rPr>
          <w:rFonts w:hint="eastAsia" w:ascii="宋体" w:hAnsi="宋体" w:eastAsia="宋体" w:cs="宋体"/>
          <w:color w:val="000000"/>
          <w:kern w:val="2"/>
          <w:sz w:val="28"/>
          <w:szCs w:val="28"/>
          <w:lang w:val="en-GB" w:eastAsia="zh-CN" w:bidi="ar-SA"/>
        </w:rPr>
        <w:t>GB 4351.1-2005《手提式灭火器 第1部分：性能和结构要求》</w:t>
      </w:r>
    </w:p>
    <w:p>
      <w:pPr>
        <w:pStyle w:val="3"/>
        <w:keepNext w:val="0"/>
        <w:keepLines w:val="0"/>
        <w:pageBreakBefore w:val="0"/>
        <w:widowControl w:val="0"/>
        <w:kinsoku/>
        <w:wordWrap/>
        <w:overflowPunct/>
        <w:topLinePunct w:val="0"/>
        <w:autoSpaceDE/>
        <w:autoSpaceDN/>
        <w:bidi w:val="0"/>
        <w:spacing w:after="0" w:afterLines="0" w:line="360" w:lineRule="auto"/>
        <w:ind w:firstLine="560" w:firstLineChars="200"/>
        <w:textAlignment w:val="auto"/>
        <w:rPr>
          <w:rFonts w:hint="eastAsia" w:ascii="宋体" w:hAnsi="宋体" w:eastAsia="宋体" w:cs="宋体"/>
          <w:color w:val="000000"/>
          <w:kern w:val="2"/>
          <w:sz w:val="28"/>
          <w:szCs w:val="28"/>
          <w:lang w:val="en-GB" w:eastAsia="zh-CN" w:bidi="ar-SA"/>
        </w:rPr>
      </w:pPr>
      <w:r>
        <w:rPr>
          <w:rFonts w:hint="eastAsia" w:ascii="宋体" w:hAnsi="宋体" w:eastAsia="宋体" w:cs="宋体"/>
          <w:color w:val="000000"/>
          <w:kern w:val="2"/>
          <w:sz w:val="28"/>
          <w:szCs w:val="28"/>
          <w:lang w:val="en-GB" w:eastAsia="zh-CN" w:bidi="ar-SA"/>
        </w:rPr>
        <w:t>现行有效的企业标准、团体标准、地方标准及产品明示质量要求。</w:t>
      </w:r>
    </w:p>
    <w:p>
      <w:pPr>
        <w:pStyle w:val="3"/>
        <w:keepNext w:val="0"/>
        <w:keepLines w:val="0"/>
        <w:pageBreakBefore w:val="0"/>
        <w:widowControl w:val="0"/>
        <w:kinsoku/>
        <w:wordWrap/>
        <w:overflowPunct/>
        <w:topLinePunct w:val="0"/>
        <w:autoSpaceDE/>
        <w:autoSpaceDN/>
        <w:bidi w:val="0"/>
        <w:spacing w:after="0" w:afterLines="0" w:line="360" w:lineRule="auto"/>
        <w:textAlignment w:val="auto"/>
        <w:rPr>
          <w:rFonts w:hint="eastAsia" w:ascii="宋体" w:hAnsi="宋体" w:eastAsia="宋体" w:cs="宋体"/>
          <w:color w:val="000000"/>
          <w:kern w:val="2"/>
          <w:sz w:val="28"/>
          <w:szCs w:val="28"/>
          <w:lang w:val="en-GB" w:eastAsia="zh-CN" w:bidi="ar-SA"/>
        </w:rPr>
      </w:pPr>
      <w:r>
        <w:rPr>
          <w:rFonts w:hint="eastAsia" w:ascii="宋体" w:hAnsi="宋体" w:eastAsia="宋体" w:cs="宋体"/>
          <w:color w:val="000000"/>
          <w:kern w:val="2"/>
          <w:sz w:val="28"/>
          <w:szCs w:val="28"/>
          <w:lang w:val="en-GB" w:eastAsia="zh-CN" w:bidi="ar-SA"/>
        </w:rPr>
        <w:t>3.2判定原则</w:t>
      </w:r>
    </w:p>
    <w:p>
      <w:pPr>
        <w:pStyle w:val="3"/>
        <w:keepNext w:val="0"/>
        <w:keepLines w:val="0"/>
        <w:pageBreakBefore w:val="0"/>
        <w:widowControl w:val="0"/>
        <w:kinsoku/>
        <w:wordWrap/>
        <w:overflowPunct/>
        <w:topLinePunct w:val="0"/>
        <w:autoSpaceDE/>
        <w:autoSpaceDN/>
        <w:bidi w:val="0"/>
        <w:spacing w:after="0" w:afterLines="0" w:line="360" w:lineRule="auto"/>
        <w:ind w:firstLine="560" w:firstLineChars="200"/>
        <w:textAlignment w:val="auto"/>
        <w:rPr>
          <w:rFonts w:hint="eastAsia" w:ascii="宋体" w:hAnsi="宋体" w:eastAsia="宋体" w:cs="宋体"/>
          <w:color w:val="000000"/>
          <w:kern w:val="2"/>
          <w:sz w:val="28"/>
          <w:szCs w:val="28"/>
          <w:lang w:val="en-GB" w:eastAsia="zh-CN" w:bidi="ar-SA"/>
        </w:rPr>
      </w:pPr>
      <w:r>
        <w:rPr>
          <w:rFonts w:hint="eastAsia" w:ascii="宋体" w:hAnsi="宋体" w:eastAsia="宋体" w:cs="宋体"/>
          <w:color w:val="000000"/>
          <w:kern w:val="2"/>
          <w:sz w:val="28"/>
          <w:szCs w:val="28"/>
          <w:lang w:val="en-GB" w:eastAsia="zh-CN" w:bidi="ar-SA"/>
        </w:rPr>
        <w:t>经检验，检验项目全部合格，判定为被抽查产品所检项目未发现不合格；检验项目中任一项或一项以上不合格，判定为被抽查产品不合格。</w:t>
      </w:r>
    </w:p>
    <w:p>
      <w:pPr>
        <w:pStyle w:val="3"/>
        <w:keepNext w:val="0"/>
        <w:keepLines w:val="0"/>
        <w:pageBreakBefore w:val="0"/>
        <w:widowControl w:val="0"/>
        <w:kinsoku/>
        <w:wordWrap/>
        <w:overflowPunct/>
        <w:topLinePunct w:val="0"/>
        <w:autoSpaceDE/>
        <w:autoSpaceDN/>
        <w:bidi w:val="0"/>
        <w:spacing w:after="0" w:afterLines="0" w:line="360" w:lineRule="auto"/>
        <w:ind w:firstLine="560" w:firstLineChars="200"/>
        <w:textAlignment w:val="auto"/>
        <w:rPr>
          <w:rFonts w:hint="eastAsia" w:ascii="宋体" w:hAnsi="宋体" w:eastAsia="宋体" w:cs="宋体"/>
          <w:color w:val="000000"/>
          <w:kern w:val="2"/>
          <w:sz w:val="28"/>
          <w:szCs w:val="28"/>
          <w:lang w:val="en-GB" w:eastAsia="zh-CN" w:bidi="ar-SA"/>
        </w:rPr>
      </w:pPr>
      <w:r>
        <w:rPr>
          <w:rFonts w:hint="eastAsia" w:ascii="宋体" w:hAnsi="宋体" w:eastAsia="宋体" w:cs="宋体"/>
          <w:color w:val="000000"/>
          <w:kern w:val="2"/>
          <w:sz w:val="28"/>
          <w:szCs w:val="28"/>
          <w:lang w:val="en-GB" w:eastAsia="zh-CN" w:bidi="ar-SA"/>
        </w:rPr>
        <w:t>若被检产品明示的质量要求高于本细则中检验项目依据的标准要求时，应按被检产品明示的质量要求判定。</w:t>
      </w:r>
    </w:p>
    <w:p>
      <w:pPr>
        <w:pStyle w:val="3"/>
        <w:keepNext w:val="0"/>
        <w:keepLines w:val="0"/>
        <w:pageBreakBefore w:val="0"/>
        <w:widowControl w:val="0"/>
        <w:kinsoku/>
        <w:wordWrap/>
        <w:overflowPunct/>
        <w:topLinePunct w:val="0"/>
        <w:autoSpaceDE/>
        <w:autoSpaceDN/>
        <w:bidi w:val="0"/>
        <w:spacing w:after="0" w:afterLines="0" w:line="360" w:lineRule="auto"/>
        <w:ind w:firstLine="560" w:firstLineChars="200"/>
        <w:textAlignment w:val="auto"/>
        <w:rPr>
          <w:rFonts w:hint="eastAsia" w:ascii="宋体" w:hAnsi="宋体" w:eastAsia="宋体" w:cs="宋体"/>
          <w:color w:val="000000"/>
          <w:kern w:val="2"/>
          <w:sz w:val="28"/>
          <w:szCs w:val="28"/>
          <w:lang w:val="en-GB" w:eastAsia="zh-CN" w:bidi="ar-SA"/>
        </w:rPr>
      </w:pPr>
      <w:r>
        <w:rPr>
          <w:rFonts w:hint="eastAsia" w:ascii="宋体" w:hAnsi="宋体" w:eastAsia="宋体" w:cs="宋体"/>
          <w:color w:val="000000"/>
          <w:kern w:val="2"/>
          <w:sz w:val="28"/>
          <w:szCs w:val="28"/>
          <w:lang w:val="en-GB" w:eastAsia="zh-CN" w:bidi="ar-SA"/>
        </w:rPr>
        <w:t>若被检产品明示的质量要求低于本细则中检验项目依据的强制性标准要求时，应按照强制性标准要求判定。</w:t>
      </w:r>
    </w:p>
    <w:p>
      <w:pPr>
        <w:pStyle w:val="3"/>
        <w:keepNext w:val="0"/>
        <w:keepLines w:val="0"/>
        <w:pageBreakBefore w:val="0"/>
        <w:widowControl w:val="0"/>
        <w:kinsoku/>
        <w:wordWrap/>
        <w:overflowPunct/>
        <w:topLinePunct w:val="0"/>
        <w:autoSpaceDE/>
        <w:autoSpaceDN/>
        <w:bidi w:val="0"/>
        <w:spacing w:after="0" w:afterLines="0" w:line="360" w:lineRule="auto"/>
        <w:ind w:firstLine="560" w:firstLineChars="200"/>
        <w:textAlignment w:val="auto"/>
        <w:rPr>
          <w:rFonts w:hint="eastAsia" w:ascii="宋体" w:hAnsi="宋体" w:eastAsia="宋体" w:cs="宋体"/>
          <w:color w:val="000000"/>
          <w:kern w:val="2"/>
          <w:sz w:val="28"/>
          <w:szCs w:val="28"/>
          <w:lang w:val="en-GB" w:eastAsia="zh-CN" w:bidi="ar-SA"/>
        </w:rPr>
      </w:pPr>
      <w:r>
        <w:rPr>
          <w:rFonts w:hint="eastAsia" w:ascii="宋体" w:hAnsi="宋体" w:eastAsia="宋体" w:cs="宋体"/>
          <w:color w:val="000000"/>
          <w:kern w:val="2"/>
          <w:sz w:val="28"/>
          <w:szCs w:val="28"/>
          <w:lang w:val="en-GB" w:eastAsia="zh-CN" w:bidi="ar-SA"/>
        </w:rPr>
        <w:t>若被检产品明示的质量要求低于或包含本细则中检验项目依据的推荐性标准要求时，应以被检产品明示的质量要求判定。</w:t>
      </w:r>
    </w:p>
    <w:p>
      <w:pPr>
        <w:pStyle w:val="3"/>
        <w:keepNext w:val="0"/>
        <w:keepLines w:val="0"/>
        <w:pageBreakBefore w:val="0"/>
        <w:widowControl w:val="0"/>
        <w:kinsoku/>
        <w:wordWrap/>
        <w:overflowPunct/>
        <w:topLinePunct w:val="0"/>
        <w:autoSpaceDE/>
        <w:autoSpaceDN/>
        <w:bidi w:val="0"/>
        <w:spacing w:after="0" w:afterLines="0" w:line="360" w:lineRule="auto"/>
        <w:ind w:firstLine="560" w:firstLineChars="200"/>
        <w:textAlignment w:val="auto"/>
        <w:rPr>
          <w:rFonts w:hint="eastAsia" w:ascii="宋体" w:hAnsi="宋体" w:eastAsia="宋体" w:cs="宋体"/>
          <w:color w:val="000000"/>
          <w:kern w:val="2"/>
          <w:sz w:val="28"/>
          <w:szCs w:val="28"/>
          <w:lang w:val="en-GB" w:eastAsia="zh-CN" w:bidi="ar-SA"/>
        </w:rPr>
      </w:pPr>
      <w:r>
        <w:rPr>
          <w:rFonts w:hint="eastAsia" w:ascii="宋体" w:hAnsi="宋体" w:eastAsia="宋体" w:cs="宋体"/>
          <w:color w:val="000000"/>
          <w:kern w:val="2"/>
          <w:sz w:val="28"/>
          <w:szCs w:val="28"/>
          <w:lang w:val="en-GB" w:eastAsia="zh-CN" w:bidi="ar-SA"/>
        </w:rPr>
        <w:t>若被检产品明示的质量要求缺少本细则中检验项目依据的强制性标准要求时，应按照强制性标准要求判定。</w:t>
      </w:r>
    </w:p>
    <w:p>
      <w:pPr>
        <w:pStyle w:val="3"/>
        <w:keepNext w:val="0"/>
        <w:keepLines w:val="0"/>
        <w:pageBreakBefore w:val="0"/>
        <w:widowControl w:val="0"/>
        <w:kinsoku/>
        <w:wordWrap/>
        <w:overflowPunct/>
        <w:topLinePunct w:val="0"/>
        <w:autoSpaceDE/>
        <w:autoSpaceDN/>
        <w:bidi w:val="0"/>
        <w:spacing w:after="0" w:afterLines="0" w:line="360" w:lineRule="auto"/>
        <w:ind w:firstLine="560" w:firstLineChars="200"/>
        <w:textAlignment w:val="auto"/>
      </w:pPr>
      <w:r>
        <w:rPr>
          <w:rFonts w:hint="eastAsia" w:ascii="宋体" w:hAnsi="宋体" w:eastAsia="宋体" w:cs="宋体"/>
          <w:color w:val="000000"/>
          <w:kern w:val="2"/>
          <w:sz w:val="28"/>
          <w:szCs w:val="28"/>
          <w:lang w:val="en-GB" w:eastAsia="zh-CN" w:bidi="ar-SA"/>
        </w:rPr>
        <w:t>若被检产品明示的质量要求缺少本细则中检验项目依据的推荐性标准要求时，该项目不参与判定。</w:t>
      </w:r>
    </w:p>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mVmNmUxZGUyMzc3ZjhlODU5MjM4M2Q2Y2I3YmQifQ=="/>
  </w:docVars>
  <w:rsids>
    <w:rsidRoot w:val="35865EBA"/>
    <w:rsid w:val="0ABF7EE6"/>
    <w:rsid w:val="14FE4DDE"/>
    <w:rsid w:val="16D637EF"/>
    <w:rsid w:val="17874F94"/>
    <w:rsid w:val="1B73636E"/>
    <w:rsid w:val="241910E8"/>
    <w:rsid w:val="2D643517"/>
    <w:rsid w:val="35865EBA"/>
    <w:rsid w:val="5314122E"/>
    <w:rsid w:val="645070A6"/>
    <w:rsid w:val="665F48FF"/>
    <w:rsid w:val="6F16157F"/>
    <w:rsid w:val="74AE7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600" w:firstLineChars="200"/>
    </w:pPr>
    <w:rPr>
      <w:rFonts w:ascii="Times New Roman" w:hAnsi="Times New Roman" w:eastAsia="仿宋_GB2312"/>
      <w:sz w:val="30"/>
      <w:szCs w:val="24"/>
    </w:rPr>
  </w:style>
  <w:style w:type="paragraph" w:styleId="3">
    <w:name w:val="Body Text"/>
    <w:basedOn w:val="1"/>
    <w:qFormat/>
    <w:uiPriority w:val="0"/>
    <w:pPr>
      <w:spacing w:after="120" w:afterLines="0" w:afterAutospacing="0"/>
    </w:pPr>
  </w:style>
  <w:style w:type="paragraph" w:styleId="4">
    <w:name w:val="footer"/>
    <w:basedOn w:val="1"/>
    <w:semiHidden/>
    <w:unhideWhenUsed/>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2022-12-09T02:04:00Z</dcterms:created>
  <dc:creator>山在那里</dc:creator>
  <cp:lastModifiedBy>山在那里</cp:lastModifiedBy>
  <dcterms:modified xsi:type="dcterms:W3CDTF">2022-12-09T02:08:45Z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65A89C18FB454BA894AC65F376B35B5F</vt:lpwstr>
  </property>
</Properties>
</file>