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玩具产品质量监督抽查实施细则</w:t>
      </w:r>
    </w:p>
    <w:p>
      <w:pPr>
        <w:snapToGrid w:val="0"/>
        <w:spacing w:line="44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 抽样方法</w:t>
      </w:r>
    </w:p>
    <w:p>
      <w:pPr>
        <w:snapToGrid w:val="0"/>
        <w:spacing w:line="44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以随机抽样的方式在被抽样生产者、销售者的待销产品中抽取。</w:t>
      </w:r>
    </w:p>
    <w:p>
      <w:pPr>
        <w:snapToGrid w:val="0"/>
        <w:spacing w:line="44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随机数一般可使用随机数表等方法产生。</w:t>
      </w:r>
    </w:p>
    <w:p>
      <w:pPr>
        <w:snapToGrid w:val="0"/>
        <w:spacing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每批次产品抽取样品</w:t>
      </w:r>
      <w:r>
        <w:rPr>
          <w:rFonts w:hint="eastAsia" w:ascii="仿宋" w:hAnsi="仿宋" w:eastAsia="仿宋" w:cs="仿宋"/>
          <w:color w:val="000000"/>
          <w:sz w:val="24"/>
          <w:szCs w:val="24"/>
          <w:highlight w:val="none"/>
        </w:rPr>
        <w:t>3个</w:t>
      </w:r>
      <w:r>
        <w:rPr>
          <w:rFonts w:hint="eastAsia" w:ascii="仿宋" w:hAnsi="仿宋" w:eastAsia="仿宋" w:cs="仿宋"/>
          <w:sz w:val="24"/>
          <w:szCs w:val="24"/>
          <w:highlight w:val="none"/>
        </w:rPr>
        <w:t>，其中2个作为检验样品，1个作为备用样品。</w:t>
      </w:r>
    </w:p>
    <w:p>
      <w:pPr>
        <w:snapToGrid w:val="0"/>
        <w:spacing w:line="440" w:lineRule="exact"/>
        <w:ind w:firstLine="480" w:firstLineChars="200"/>
        <w:rPr>
          <w:rFonts w:hint="eastAsia" w:ascii="仿宋" w:hAnsi="仿宋" w:eastAsia="仿宋" w:cs="仿宋"/>
          <w:color w:val="000000"/>
          <w:sz w:val="24"/>
          <w:szCs w:val="24"/>
          <w:highlight w:val="none"/>
        </w:rPr>
      </w:pPr>
    </w:p>
    <w:p>
      <w:pPr>
        <w:snapToGrid w:val="0"/>
        <w:spacing w:line="44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 检验依据</w:t>
      </w:r>
    </w:p>
    <w:p>
      <w:pPr>
        <w:snapToGrid w:val="0"/>
        <w:spacing w:line="440" w:lineRule="exact"/>
        <w:jc w:val="center"/>
        <w:rPr>
          <w:rFonts w:hint="eastAsia" w:ascii="仿宋" w:hAnsi="仿宋" w:eastAsia="仿宋" w:cs="仿宋"/>
          <w:color w:val="000000"/>
          <w:sz w:val="24"/>
          <w:szCs w:val="24"/>
          <w:highlight w:val="none"/>
        </w:rPr>
      </w:pPr>
    </w:p>
    <w:tbl>
      <w:tblPr>
        <w:tblStyle w:val="9"/>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1"/>
        <w:gridCol w:w="3866"/>
        <w:gridCol w:w="30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tblHeader/>
          <w:jc w:val="center"/>
        </w:trPr>
        <w:tc>
          <w:tcPr>
            <w:tcW w:w="922" w:type="pct"/>
            <w:vMerge w:val="restart"/>
            <w:noWrap w:val="0"/>
            <w:vAlign w:val="center"/>
          </w:tcPr>
          <w:p>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2269" w:type="pct"/>
            <w:vMerge w:val="restart"/>
            <w:noWrap w:val="0"/>
            <w:vAlign w:val="center"/>
          </w:tcPr>
          <w:p>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检验项目</w:t>
            </w:r>
          </w:p>
        </w:tc>
        <w:tc>
          <w:tcPr>
            <w:tcW w:w="1808" w:type="pct"/>
            <w:vMerge w:val="restart"/>
            <w:noWrap w:val="0"/>
            <w:vAlign w:val="center"/>
          </w:tcPr>
          <w:p>
            <w:pPr>
              <w:jc w:val="center"/>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tblHeader/>
          <w:jc w:val="center"/>
        </w:trPr>
        <w:tc>
          <w:tcPr>
            <w:tcW w:w="922" w:type="pct"/>
            <w:vMerge w:val="continue"/>
            <w:noWrap w:val="0"/>
            <w:vAlign w:val="center"/>
          </w:tcPr>
          <w:p>
            <w:pPr>
              <w:pStyle w:val="7"/>
              <w:spacing w:line="300" w:lineRule="auto"/>
              <w:jc w:val="center"/>
              <w:rPr>
                <w:rFonts w:hint="eastAsia" w:ascii="仿宋" w:hAnsi="仿宋" w:eastAsia="仿宋" w:cs="仿宋"/>
                <w:bCs/>
                <w:sz w:val="24"/>
                <w:szCs w:val="24"/>
                <w:highlight w:val="none"/>
              </w:rPr>
            </w:pPr>
          </w:p>
        </w:tc>
        <w:tc>
          <w:tcPr>
            <w:tcW w:w="2269" w:type="pct"/>
            <w:vMerge w:val="continue"/>
            <w:noWrap w:val="0"/>
            <w:vAlign w:val="center"/>
          </w:tcPr>
          <w:p>
            <w:pPr>
              <w:pStyle w:val="7"/>
              <w:spacing w:line="300" w:lineRule="auto"/>
              <w:jc w:val="center"/>
              <w:rPr>
                <w:rFonts w:hint="eastAsia" w:ascii="仿宋" w:hAnsi="仿宋" w:eastAsia="仿宋" w:cs="仿宋"/>
                <w:bCs/>
                <w:sz w:val="24"/>
                <w:szCs w:val="24"/>
                <w:highlight w:val="none"/>
              </w:rPr>
            </w:pPr>
          </w:p>
        </w:tc>
        <w:tc>
          <w:tcPr>
            <w:tcW w:w="1808" w:type="pct"/>
            <w:vMerge w:val="continue"/>
            <w:noWrap w:val="0"/>
            <w:vAlign w:val="center"/>
          </w:tcPr>
          <w:p>
            <w:pPr>
              <w:pStyle w:val="7"/>
              <w:spacing w:line="300" w:lineRule="auto"/>
              <w:jc w:val="center"/>
              <w:rPr>
                <w:rFonts w:hint="eastAsia" w:ascii="仿宋" w:hAnsi="仿宋" w:eastAsia="仿宋" w:cs="仿宋"/>
                <w:bC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5000" w:type="pct"/>
            <w:gridSpan w:val="3"/>
            <w:noWrap w:val="0"/>
            <w:vAlign w:val="center"/>
          </w:tcPr>
          <w:p>
            <w:pPr>
              <w:pStyle w:val="7"/>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一、机械与物理性能（正常使用）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1</w:t>
            </w:r>
          </w:p>
        </w:tc>
        <w:tc>
          <w:tcPr>
            <w:tcW w:w="2269" w:type="pct"/>
            <w:noWrap w:val="0"/>
            <w:vAlign w:val="center"/>
          </w:tcPr>
          <w:p>
            <w:pPr>
              <w:pStyle w:val="7"/>
              <w:spacing w:line="300" w:lineRule="auto"/>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材料</w:t>
            </w:r>
          </w:p>
        </w:tc>
        <w:tc>
          <w:tcPr>
            <w:tcW w:w="1808" w:type="pct"/>
            <w:noWrap w:val="0"/>
            <w:vAlign w:val="center"/>
          </w:tcPr>
          <w:p>
            <w:pPr>
              <w:pStyle w:val="7"/>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2</w:t>
            </w:r>
          </w:p>
        </w:tc>
        <w:tc>
          <w:tcPr>
            <w:tcW w:w="2269" w:type="pct"/>
            <w:noWrap w:val="0"/>
            <w:vAlign w:val="center"/>
          </w:tcPr>
          <w:p>
            <w:pPr>
              <w:pStyle w:val="7"/>
              <w:spacing w:line="300" w:lineRule="auto"/>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小零件</w:t>
            </w:r>
          </w:p>
        </w:tc>
        <w:tc>
          <w:tcPr>
            <w:tcW w:w="1808" w:type="pct"/>
            <w:noWrap w:val="0"/>
            <w:vAlign w:val="center"/>
          </w:tcPr>
          <w:p>
            <w:pPr>
              <w:pStyle w:val="7"/>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3</w:t>
            </w:r>
          </w:p>
        </w:tc>
        <w:tc>
          <w:tcPr>
            <w:tcW w:w="2269" w:type="pct"/>
            <w:noWrap w:val="0"/>
            <w:vAlign w:val="center"/>
          </w:tcPr>
          <w:p>
            <w:pPr>
              <w:pStyle w:val="7"/>
              <w:spacing w:line="300" w:lineRule="auto"/>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挤压玩具、摇铃及类似玩具</w:t>
            </w:r>
          </w:p>
        </w:tc>
        <w:tc>
          <w:tcPr>
            <w:tcW w:w="1808" w:type="pct"/>
            <w:noWrap w:val="0"/>
            <w:vAlign w:val="center"/>
          </w:tcPr>
          <w:p>
            <w:pPr>
              <w:pStyle w:val="7"/>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4</w:t>
            </w:r>
          </w:p>
        </w:tc>
        <w:tc>
          <w:tcPr>
            <w:tcW w:w="2269" w:type="pct"/>
            <w:noWrap w:val="0"/>
            <w:vAlign w:val="center"/>
          </w:tcPr>
          <w:p>
            <w:pPr>
              <w:pStyle w:val="7"/>
              <w:spacing w:line="300" w:lineRule="auto"/>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小球</w:t>
            </w:r>
          </w:p>
        </w:tc>
        <w:tc>
          <w:tcPr>
            <w:tcW w:w="1808" w:type="pct"/>
            <w:noWrap w:val="0"/>
            <w:vAlign w:val="center"/>
          </w:tcPr>
          <w:p>
            <w:pPr>
              <w:pStyle w:val="7"/>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5</w:t>
            </w:r>
          </w:p>
        </w:tc>
        <w:tc>
          <w:tcPr>
            <w:tcW w:w="2269" w:type="pct"/>
            <w:noWrap w:val="0"/>
            <w:vAlign w:val="center"/>
          </w:tcPr>
          <w:p>
            <w:pPr>
              <w:pStyle w:val="7"/>
              <w:spacing w:line="300" w:lineRule="auto"/>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毛球</w:t>
            </w:r>
          </w:p>
        </w:tc>
        <w:tc>
          <w:tcPr>
            <w:tcW w:w="1808" w:type="pct"/>
            <w:noWrap w:val="0"/>
            <w:vAlign w:val="center"/>
          </w:tcPr>
          <w:p>
            <w:pPr>
              <w:pStyle w:val="7"/>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6</w:t>
            </w:r>
          </w:p>
        </w:tc>
        <w:tc>
          <w:tcPr>
            <w:tcW w:w="2269" w:type="pct"/>
            <w:noWrap w:val="0"/>
            <w:vAlign w:val="center"/>
          </w:tcPr>
          <w:p>
            <w:pPr>
              <w:pStyle w:val="7"/>
              <w:spacing w:line="300" w:lineRule="auto"/>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学前玩偶</w:t>
            </w:r>
          </w:p>
        </w:tc>
        <w:tc>
          <w:tcPr>
            <w:tcW w:w="1808" w:type="pct"/>
            <w:noWrap w:val="0"/>
            <w:vAlign w:val="center"/>
          </w:tcPr>
          <w:p>
            <w:pPr>
              <w:pStyle w:val="7"/>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7</w:t>
            </w:r>
          </w:p>
        </w:tc>
        <w:tc>
          <w:tcPr>
            <w:tcW w:w="2269" w:type="pct"/>
            <w:noWrap w:val="0"/>
            <w:vAlign w:val="center"/>
          </w:tcPr>
          <w:p>
            <w:pPr>
              <w:pStyle w:val="7"/>
              <w:spacing w:line="300" w:lineRule="auto"/>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玩具奶嘴</w:t>
            </w:r>
          </w:p>
        </w:tc>
        <w:tc>
          <w:tcPr>
            <w:tcW w:w="1808" w:type="pct"/>
            <w:noWrap w:val="0"/>
            <w:vAlign w:val="center"/>
          </w:tcPr>
          <w:p>
            <w:pPr>
              <w:pStyle w:val="7"/>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8</w:t>
            </w:r>
          </w:p>
        </w:tc>
        <w:tc>
          <w:tcPr>
            <w:tcW w:w="2269" w:type="pct"/>
            <w:noWrap w:val="0"/>
            <w:vAlign w:val="center"/>
          </w:tcPr>
          <w:p>
            <w:pPr>
              <w:pStyle w:val="7"/>
              <w:spacing w:line="300" w:lineRule="auto"/>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气球</w:t>
            </w:r>
          </w:p>
        </w:tc>
        <w:tc>
          <w:tcPr>
            <w:tcW w:w="1808" w:type="pct"/>
            <w:noWrap w:val="0"/>
            <w:vAlign w:val="center"/>
          </w:tcPr>
          <w:p>
            <w:pPr>
              <w:pStyle w:val="7"/>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9</w:t>
            </w:r>
          </w:p>
        </w:tc>
        <w:tc>
          <w:tcPr>
            <w:tcW w:w="2269" w:type="pct"/>
            <w:noWrap w:val="0"/>
            <w:vAlign w:val="center"/>
          </w:tcPr>
          <w:p>
            <w:pPr>
              <w:pStyle w:val="7"/>
              <w:spacing w:line="300" w:lineRule="auto"/>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弹珠</w:t>
            </w:r>
          </w:p>
        </w:tc>
        <w:tc>
          <w:tcPr>
            <w:tcW w:w="1808" w:type="pct"/>
            <w:noWrap w:val="0"/>
            <w:vAlign w:val="center"/>
          </w:tcPr>
          <w:p>
            <w:pPr>
              <w:pStyle w:val="7"/>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10</w:t>
            </w:r>
          </w:p>
        </w:tc>
        <w:tc>
          <w:tcPr>
            <w:tcW w:w="2269" w:type="pct"/>
            <w:noWrap w:val="0"/>
            <w:vAlign w:val="center"/>
          </w:tcPr>
          <w:p>
            <w:pPr>
              <w:pStyle w:val="7"/>
              <w:spacing w:line="300" w:lineRule="auto"/>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半球形玩具</w:t>
            </w:r>
          </w:p>
        </w:tc>
        <w:tc>
          <w:tcPr>
            <w:tcW w:w="1808" w:type="pct"/>
            <w:noWrap w:val="0"/>
            <w:vAlign w:val="center"/>
          </w:tcPr>
          <w:p>
            <w:pPr>
              <w:pStyle w:val="7"/>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11</w:t>
            </w:r>
          </w:p>
        </w:tc>
        <w:tc>
          <w:tcPr>
            <w:tcW w:w="2269" w:type="pct"/>
            <w:noWrap w:val="0"/>
            <w:vAlign w:val="center"/>
          </w:tcPr>
          <w:p>
            <w:pPr>
              <w:pStyle w:val="7"/>
              <w:spacing w:line="300" w:lineRule="auto"/>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可触及的金属或玻璃边缘</w:t>
            </w:r>
          </w:p>
        </w:tc>
        <w:tc>
          <w:tcPr>
            <w:tcW w:w="1808" w:type="pct"/>
            <w:noWrap w:val="0"/>
            <w:vAlign w:val="center"/>
          </w:tcPr>
          <w:p>
            <w:pPr>
              <w:pStyle w:val="7"/>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12</w:t>
            </w:r>
          </w:p>
        </w:tc>
        <w:tc>
          <w:tcPr>
            <w:tcW w:w="2269" w:type="pct"/>
            <w:noWrap w:val="0"/>
            <w:vAlign w:val="center"/>
          </w:tcPr>
          <w:p>
            <w:pPr>
              <w:pStyle w:val="7"/>
              <w:spacing w:line="300" w:lineRule="auto"/>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功能性锐利边缘</w:t>
            </w:r>
          </w:p>
        </w:tc>
        <w:tc>
          <w:tcPr>
            <w:tcW w:w="1808" w:type="pct"/>
            <w:noWrap w:val="0"/>
            <w:vAlign w:val="center"/>
          </w:tcPr>
          <w:p>
            <w:pPr>
              <w:pStyle w:val="7"/>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bookmarkStart w:id="0" w:name="_Hlk28281258"/>
            <w:r>
              <w:rPr>
                <w:rFonts w:hint="eastAsia" w:ascii="仿宋" w:hAnsi="仿宋" w:eastAsia="仿宋" w:cs="仿宋"/>
                <w:bCs/>
                <w:sz w:val="24"/>
                <w:szCs w:val="24"/>
                <w:highlight w:val="none"/>
              </w:rPr>
              <w:t>13</w:t>
            </w:r>
          </w:p>
        </w:tc>
        <w:tc>
          <w:tcPr>
            <w:tcW w:w="2269" w:type="pct"/>
            <w:noWrap w:val="0"/>
            <w:vAlign w:val="center"/>
          </w:tcPr>
          <w:p>
            <w:pPr>
              <w:spacing w:line="320" w:lineRule="exact"/>
              <w:rPr>
                <w:rFonts w:hint="eastAsia" w:ascii="仿宋" w:hAnsi="仿宋" w:eastAsia="仿宋" w:cs="仿宋"/>
                <w:bCs/>
                <w:sz w:val="24"/>
                <w:szCs w:val="24"/>
                <w:highlight w:val="none"/>
              </w:rPr>
            </w:pPr>
            <w:r>
              <w:rPr>
                <w:rFonts w:hint="eastAsia" w:ascii="仿宋" w:hAnsi="仿宋" w:eastAsia="仿宋" w:cs="仿宋"/>
                <w:bCs/>
                <w:kern w:val="0"/>
                <w:sz w:val="24"/>
                <w:szCs w:val="24"/>
                <w:highlight w:val="none"/>
              </w:rPr>
              <w:t>金属玩具边缘</w:t>
            </w:r>
          </w:p>
        </w:tc>
        <w:tc>
          <w:tcPr>
            <w:tcW w:w="1808" w:type="pct"/>
            <w:noWrap w:val="0"/>
            <w:vAlign w:val="center"/>
          </w:tcPr>
          <w:p>
            <w:pPr>
              <w:pStyle w:val="7"/>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14</w:t>
            </w:r>
          </w:p>
        </w:tc>
        <w:tc>
          <w:tcPr>
            <w:tcW w:w="2269" w:type="pct"/>
            <w:noWrap w:val="0"/>
            <w:vAlign w:val="center"/>
          </w:tcPr>
          <w:p>
            <w:pPr>
              <w:pStyle w:val="7"/>
              <w:spacing w:line="300" w:lineRule="auto"/>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模塑玩具边缘</w:t>
            </w:r>
          </w:p>
        </w:tc>
        <w:tc>
          <w:tcPr>
            <w:tcW w:w="1808" w:type="pct"/>
            <w:noWrap w:val="0"/>
            <w:vAlign w:val="center"/>
          </w:tcPr>
          <w:p>
            <w:pPr>
              <w:pStyle w:val="7"/>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15</w:t>
            </w:r>
          </w:p>
        </w:tc>
        <w:tc>
          <w:tcPr>
            <w:tcW w:w="2269" w:type="pct"/>
            <w:noWrap w:val="0"/>
            <w:vAlign w:val="center"/>
          </w:tcPr>
          <w:p>
            <w:pPr>
              <w:pStyle w:val="7"/>
              <w:spacing w:line="300" w:lineRule="auto"/>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外露螺栓或螺纹杆的边缘</w:t>
            </w:r>
          </w:p>
        </w:tc>
        <w:tc>
          <w:tcPr>
            <w:tcW w:w="1808" w:type="pct"/>
            <w:noWrap w:val="0"/>
            <w:vAlign w:val="center"/>
          </w:tcPr>
          <w:p>
            <w:pPr>
              <w:pStyle w:val="7"/>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16</w:t>
            </w:r>
          </w:p>
        </w:tc>
        <w:tc>
          <w:tcPr>
            <w:tcW w:w="2269" w:type="pct"/>
            <w:noWrap w:val="0"/>
            <w:vAlign w:val="center"/>
          </w:tcPr>
          <w:p>
            <w:pPr>
              <w:pStyle w:val="7"/>
              <w:spacing w:line="300" w:lineRule="auto"/>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可触及的锐利尖端</w:t>
            </w:r>
          </w:p>
        </w:tc>
        <w:tc>
          <w:tcPr>
            <w:tcW w:w="1808" w:type="pct"/>
            <w:noWrap w:val="0"/>
            <w:vAlign w:val="center"/>
          </w:tcPr>
          <w:p>
            <w:pPr>
              <w:pStyle w:val="7"/>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17</w:t>
            </w:r>
          </w:p>
        </w:tc>
        <w:tc>
          <w:tcPr>
            <w:tcW w:w="2269" w:type="pct"/>
            <w:noWrap w:val="0"/>
            <w:vAlign w:val="center"/>
          </w:tcPr>
          <w:p>
            <w:pPr>
              <w:pStyle w:val="7"/>
              <w:spacing w:line="300" w:lineRule="auto"/>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功能性锐利尖端</w:t>
            </w:r>
          </w:p>
        </w:tc>
        <w:tc>
          <w:tcPr>
            <w:tcW w:w="1808" w:type="pct"/>
            <w:noWrap w:val="0"/>
            <w:vAlign w:val="center"/>
          </w:tcPr>
          <w:p>
            <w:pPr>
              <w:pStyle w:val="7"/>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18</w:t>
            </w:r>
          </w:p>
        </w:tc>
        <w:tc>
          <w:tcPr>
            <w:tcW w:w="2269" w:type="pct"/>
            <w:noWrap w:val="0"/>
            <w:vAlign w:val="center"/>
          </w:tcPr>
          <w:p>
            <w:pPr>
              <w:spacing w:line="320" w:lineRule="exact"/>
              <w:rPr>
                <w:rFonts w:hint="eastAsia" w:ascii="仿宋" w:hAnsi="仿宋" w:eastAsia="仿宋" w:cs="仿宋"/>
                <w:bCs/>
                <w:kern w:val="0"/>
                <w:sz w:val="24"/>
                <w:szCs w:val="24"/>
                <w:highlight w:val="none"/>
              </w:rPr>
            </w:pPr>
            <w:r>
              <w:rPr>
                <w:rFonts w:hint="eastAsia" w:ascii="仿宋" w:hAnsi="仿宋" w:eastAsia="仿宋" w:cs="仿宋"/>
                <w:bCs/>
                <w:kern w:val="0"/>
                <w:sz w:val="24"/>
                <w:szCs w:val="24"/>
                <w:highlight w:val="none"/>
              </w:rPr>
              <w:t>木制玩具</w:t>
            </w:r>
          </w:p>
        </w:tc>
        <w:tc>
          <w:tcPr>
            <w:tcW w:w="1808" w:type="pct"/>
            <w:noWrap w:val="0"/>
            <w:vAlign w:val="center"/>
          </w:tcPr>
          <w:p>
            <w:pPr>
              <w:pStyle w:val="8"/>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19</w:t>
            </w:r>
          </w:p>
        </w:tc>
        <w:tc>
          <w:tcPr>
            <w:tcW w:w="2269" w:type="pct"/>
            <w:noWrap w:val="0"/>
            <w:vAlign w:val="center"/>
          </w:tcPr>
          <w:p>
            <w:pPr>
              <w:pStyle w:val="7"/>
              <w:spacing w:line="300" w:lineRule="auto"/>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突出物</w:t>
            </w:r>
          </w:p>
        </w:tc>
        <w:tc>
          <w:tcPr>
            <w:tcW w:w="1808" w:type="pct"/>
            <w:noWrap w:val="0"/>
            <w:vAlign w:val="center"/>
          </w:tcPr>
          <w:p>
            <w:pPr>
              <w:pStyle w:val="7"/>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20</w:t>
            </w:r>
          </w:p>
        </w:tc>
        <w:tc>
          <w:tcPr>
            <w:tcW w:w="2269" w:type="pct"/>
            <w:noWrap w:val="0"/>
            <w:vAlign w:val="center"/>
          </w:tcPr>
          <w:p>
            <w:pPr>
              <w:pStyle w:val="7"/>
              <w:spacing w:line="300" w:lineRule="auto"/>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用于包装或玩具中的塑料袋或塑料薄膜</w:t>
            </w:r>
          </w:p>
        </w:tc>
        <w:tc>
          <w:tcPr>
            <w:tcW w:w="1808" w:type="pct"/>
            <w:noWrap w:val="0"/>
            <w:vAlign w:val="center"/>
          </w:tcPr>
          <w:p>
            <w:pPr>
              <w:pStyle w:val="7"/>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21</w:t>
            </w:r>
          </w:p>
        </w:tc>
        <w:tc>
          <w:tcPr>
            <w:tcW w:w="2269" w:type="pct"/>
            <w:noWrap w:val="0"/>
            <w:vAlign w:val="center"/>
          </w:tcPr>
          <w:p>
            <w:pPr>
              <w:pStyle w:val="7"/>
              <w:spacing w:line="300" w:lineRule="auto"/>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18个月以下儿童使用的玩具上的绳索和弹性绳</w:t>
            </w:r>
          </w:p>
        </w:tc>
        <w:tc>
          <w:tcPr>
            <w:tcW w:w="1808" w:type="pct"/>
            <w:noWrap w:val="0"/>
            <w:vAlign w:val="center"/>
          </w:tcPr>
          <w:p>
            <w:pPr>
              <w:pStyle w:val="7"/>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22</w:t>
            </w:r>
          </w:p>
        </w:tc>
        <w:tc>
          <w:tcPr>
            <w:tcW w:w="2269" w:type="pct"/>
            <w:noWrap w:val="0"/>
            <w:vAlign w:val="center"/>
          </w:tcPr>
          <w:p>
            <w:pPr>
              <w:pStyle w:val="7"/>
              <w:spacing w:line="300" w:lineRule="auto"/>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18个月以下儿童使用的玩具上的自回缩绳</w:t>
            </w:r>
          </w:p>
        </w:tc>
        <w:tc>
          <w:tcPr>
            <w:tcW w:w="1808" w:type="pct"/>
            <w:noWrap w:val="0"/>
            <w:vAlign w:val="center"/>
          </w:tcPr>
          <w:p>
            <w:pPr>
              <w:pStyle w:val="7"/>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23</w:t>
            </w:r>
          </w:p>
        </w:tc>
        <w:tc>
          <w:tcPr>
            <w:tcW w:w="2269" w:type="pct"/>
            <w:noWrap w:val="0"/>
            <w:vAlign w:val="center"/>
          </w:tcPr>
          <w:p>
            <w:pPr>
              <w:pStyle w:val="7"/>
              <w:spacing w:line="300" w:lineRule="auto"/>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36个月以下儿童使用的拖拉玩具上的绳索或弹性绳</w:t>
            </w:r>
          </w:p>
        </w:tc>
        <w:tc>
          <w:tcPr>
            <w:tcW w:w="1808" w:type="pct"/>
            <w:noWrap w:val="0"/>
            <w:vAlign w:val="center"/>
          </w:tcPr>
          <w:p>
            <w:pPr>
              <w:pStyle w:val="7"/>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24</w:t>
            </w:r>
          </w:p>
        </w:tc>
        <w:tc>
          <w:tcPr>
            <w:tcW w:w="2269" w:type="pct"/>
            <w:noWrap w:val="0"/>
            <w:vAlign w:val="center"/>
          </w:tcPr>
          <w:p>
            <w:pPr>
              <w:pStyle w:val="7"/>
              <w:spacing w:line="300" w:lineRule="auto"/>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玩具袋上的绳索</w:t>
            </w:r>
          </w:p>
        </w:tc>
        <w:tc>
          <w:tcPr>
            <w:tcW w:w="1808" w:type="pct"/>
            <w:noWrap w:val="0"/>
            <w:vAlign w:val="center"/>
          </w:tcPr>
          <w:p>
            <w:pPr>
              <w:pStyle w:val="7"/>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25</w:t>
            </w:r>
          </w:p>
        </w:tc>
        <w:tc>
          <w:tcPr>
            <w:tcW w:w="2269" w:type="pct"/>
            <w:noWrap w:val="0"/>
            <w:vAlign w:val="center"/>
          </w:tcPr>
          <w:p>
            <w:pPr>
              <w:pStyle w:val="7"/>
              <w:spacing w:line="300" w:lineRule="auto"/>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铰链间隙</w:t>
            </w:r>
          </w:p>
        </w:tc>
        <w:tc>
          <w:tcPr>
            <w:tcW w:w="1808" w:type="pct"/>
            <w:noWrap w:val="0"/>
            <w:vAlign w:val="center"/>
          </w:tcPr>
          <w:p>
            <w:pPr>
              <w:pStyle w:val="7"/>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26</w:t>
            </w:r>
          </w:p>
        </w:tc>
        <w:tc>
          <w:tcPr>
            <w:tcW w:w="2269" w:type="pct"/>
            <w:noWrap w:val="0"/>
            <w:vAlign w:val="center"/>
          </w:tcPr>
          <w:p>
            <w:pPr>
              <w:pStyle w:val="7"/>
              <w:spacing w:line="300" w:lineRule="auto"/>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刚性材料上的圆孔</w:t>
            </w:r>
          </w:p>
        </w:tc>
        <w:tc>
          <w:tcPr>
            <w:tcW w:w="1808" w:type="pct"/>
            <w:noWrap w:val="0"/>
            <w:vAlign w:val="center"/>
          </w:tcPr>
          <w:p>
            <w:pPr>
              <w:pStyle w:val="7"/>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27</w:t>
            </w:r>
          </w:p>
        </w:tc>
        <w:tc>
          <w:tcPr>
            <w:tcW w:w="2269" w:type="pct"/>
            <w:noWrap w:val="0"/>
            <w:vAlign w:val="center"/>
          </w:tcPr>
          <w:p>
            <w:pPr>
              <w:pStyle w:val="7"/>
              <w:spacing w:line="300" w:lineRule="auto"/>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活动部件间的间隙</w:t>
            </w:r>
          </w:p>
        </w:tc>
        <w:tc>
          <w:tcPr>
            <w:tcW w:w="1808" w:type="pct"/>
            <w:noWrap w:val="0"/>
            <w:vAlign w:val="center"/>
          </w:tcPr>
          <w:p>
            <w:pPr>
              <w:pStyle w:val="7"/>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28</w:t>
            </w:r>
          </w:p>
        </w:tc>
        <w:tc>
          <w:tcPr>
            <w:tcW w:w="2269" w:type="pct"/>
            <w:noWrap w:val="0"/>
            <w:vAlign w:val="center"/>
          </w:tcPr>
          <w:p>
            <w:pPr>
              <w:pStyle w:val="7"/>
              <w:spacing w:line="300" w:lineRule="auto"/>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其他驱动机构</w:t>
            </w:r>
          </w:p>
        </w:tc>
        <w:tc>
          <w:tcPr>
            <w:tcW w:w="1808" w:type="pct"/>
            <w:noWrap w:val="0"/>
            <w:vAlign w:val="center"/>
          </w:tcPr>
          <w:p>
            <w:pPr>
              <w:pStyle w:val="7"/>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29</w:t>
            </w:r>
          </w:p>
        </w:tc>
        <w:tc>
          <w:tcPr>
            <w:tcW w:w="2269" w:type="pct"/>
            <w:noWrap w:val="0"/>
            <w:vAlign w:val="center"/>
          </w:tcPr>
          <w:p>
            <w:pPr>
              <w:pStyle w:val="7"/>
              <w:spacing w:line="300" w:lineRule="auto"/>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发条钥匙</w:t>
            </w:r>
          </w:p>
        </w:tc>
        <w:tc>
          <w:tcPr>
            <w:tcW w:w="1808" w:type="pct"/>
            <w:noWrap w:val="0"/>
            <w:vAlign w:val="center"/>
          </w:tcPr>
          <w:p>
            <w:pPr>
              <w:pStyle w:val="7"/>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30</w:t>
            </w:r>
          </w:p>
        </w:tc>
        <w:tc>
          <w:tcPr>
            <w:tcW w:w="2269" w:type="pct"/>
            <w:noWrap w:val="0"/>
            <w:vAlign w:val="center"/>
          </w:tcPr>
          <w:p>
            <w:pPr>
              <w:pStyle w:val="7"/>
              <w:spacing w:line="300" w:lineRule="auto"/>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弹簧</w:t>
            </w:r>
          </w:p>
        </w:tc>
        <w:tc>
          <w:tcPr>
            <w:tcW w:w="1808" w:type="pct"/>
            <w:noWrap w:val="0"/>
            <w:vAlign w:val="center"/>
          </w:tcPr>
          <w:p>
            <w:pPr>
              <w:pStyle w:val="7"/>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31</w:t>
            </w:r>
          </w:p>
        </w:tc>
        <w:tc>
          <w:tcPr>
            <w:tcW w:w="2269" w:type="pct"/>
            <w:noWrap w:val="0"/>
            <w:vAlign w:val="center"/>
          </w:tcPr>
          <w:p>
            <w:pPr>
              <w:pStyle w:val="7"/>
              <w:spacing w:line="300" w:lineRule="auto"/>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封闭头部的玩具</w:t>
            </w:r>
          </w:p>
        </w:tc>
        <w:tc>
          <w:tcPr>
            <w:tcW w:w="1808" w:type="pct"/>
            <w:noWrap w:val="0"/>
            <w:vAlign w:val="center"/>
          </w:tcPr>
          <w:p>
            <w:pPr>
              <w:pStyle w:val="7"/>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32</w:t>
            </w:r>
          </w:p>
        </w:tc>
        <w:tc>
          <w:tcPr>
            <w:tcW w:w="2269" w:type="pct"/>
            <w:noWrap w:val="0"/>
            <w:vAlign w:val="center"/>
          </w:tcPr>
          <w:p>
            <w:pPr>
              <w:pStyle w:val="7"/>
              <w:spacing w:line="300" w:lineRule="auto"/>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仿制防护玩具（头盔、帽子、护目镜）</w:t>
            </w:r>
          </w:p>
        </w:tc>
        <w:tc>
          <w:tcPr>
            <w:tcW w:w="1808" w:type="pct"/>
            <w:noWrap w:val="0"/>
            <w:vAlign w:val="center"/>
          </w:tcPr>
          <w:p>
            <w:pPr>
              <w:pStyle w:val="7"/>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33</w:t>
            </w:r>
          </w:p>
        </w:tc>
        <w:tc>
          <w:tcPr>
            <w:tcW w:w="2269" w:type="pct"/>
            <w:noWrap w:val="0"/>
            <w:vAlign w:val="center"/>
          </w:tcPr>
          <w:p>
            <w:pPr>
              <w:pStyle w:val="7"/>
              <w:spacing w:line="300" w:lineRule="auto"/>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弹射玩具一般要求</w:t>
            </w:r>
          </w:p>
        </w:tc>
        <w:tc>
          <w:tcPr>
            <w:tcW w:w="1808" w:type="pct"/>
            <w:noWrap w:val="0"/>
            <w:vAlign w:val="center"/>
          </w:tcPr>
          <w:p>
            <w:pPr>
              <w:pStyle w:val="7"/>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34</w:t>
            </w:r>
          </w:p>
        </w:tc>
        <w:tc>
          <w:tcPr>
            <w:tcW w:w="2269" w:type="pct"/>
            <w:noWrap w:val="0"/>
            <w:vAlign w:val="center"/>
          </w:tcPr>
          <w:p>
            <w:pPr>
              <w:pStyle w:val="7"/>
              <w:spacing w:line="300" w:lineRule="auto"/>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蓄能弹射玩具</w:t>
            </w:r>
          </w:p>
        </w:tc>
        <w:tc>
          <w:tcPr>
            <w:tcW w:w="1808" w:type="pct"/>
            <w:noWrap w:val="0"/>
            <w:vAlign w:val="center"/>
          </w:tcPr>
          <w:p>
            <w:pPr>
              <w:pStyle w:val="7"/>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35</w:t>
            </w:r>
          </w:p>
        </w:tc>
        <w:tc>
          <w:tcPr>
            <w:tcW w:w="2269" w:type="pct"/>
            <w:noWrap w:val="0"/>
            <w:vAlign w:val="center"/>
          </w:tcPr>
          <w:p>
            <w:pPr>
              <w:pStyle w:val="7"/>
              <w:spacing w:line="300" w:lineRule="auto"/>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非蓄能弹射玩具</w:t>
            </w:r>
          </w:p>
        </w:tc>
        <w:tc>
          <w:tcPr>
            <w:tcW w:w="1808" w:type="pct"/>
            <w:noWrap w:val="0"/>
            <w:vAlign w:val="center"/>
          </w:tcPr>
          <w:p>
            <w:pPr>
              <w:pStyle w:val="7"/>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36</w:t>
            </w:r>
          </w:p>
        </w:tc>
        <w:tc>
          <w:tcPr>
            <w:tcW w:w="2269" w:type="pct"/>
            <w:noWrap w:val="0"/>
            <w:vAlign w:val="center"/>
          </w:tcPr>
          <w:p>
            <w:pPr>
              <w:pStyle w:val="7"/>
              <w:spacing w:line="300" w:lineRule="auto"/>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水上玩具</w:t>
            </w:r>
          </w:p>
        </w:tc>
        <w:tc>
          <w:tcPr>
            <w:tcW w:w="1808" w:type="pct"/>
            <w:noWrap w:val="0"/>
            <w:vAlign w:val="center"/>
          </w:tcPr>
          <w:p>
            <w:pPr>
              <w:pStyle w:val="7"/>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37</w:t>
            </w:r>
          </w:p>
        </w:tc>
        <w:tc>
          <w:tcPr>
            <w:tcW w:w="2269" w:type="pct"/>
            <w:noWrap w:val="0"/>
            <w:vAlign w:val="center"/>
          </w:tcPr>
          <w:p>
            <w:pPr>
              <w:spacing w:line="30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液体填充玩具</w:t>
            </w:r>
          </w:p>
        </w:tc>
        <w:tc>
          <w:tcPr>
            <w:tcW w:w="1808" w:type="pct"/>
            <w:noWrap w:val="0"/>
            <w:vAlign w:val="center"/>
          </w:tcPr>
          <w:p>
            <w:pPr>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38</w:t>
            </w:r>
          </w:p>
        </w:tc>
        <w:tc>
          <w:tcPr>
            <w:tcW w:w="2269" w:type="pct"/>
            <w:noWrap w:val="0"/>
            <w:vAlign w:val="center"/>
          </w:tcPr>
          <w:p>
            <w:pPr>
              <w:spacing w:line="30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口动玩具</w:t>
            </w:r>
          </w:p>
        </w:tc>
        <w:tc>
          <w:tcPr>
            <w:tcW w:w="1808" w:type="pct"/>
            <w:noWrap w:val="0"/>
            <w:vAlign w:val="center"/>
          </w:tcPr>
          <w:p>
            <w:pPr>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39</w:t>
            </w:r>
          </w:p>
        </w:tc>
        <w:tc>
          <w:tcPr>
            <w:tcW w:w="2269" w:type="pct"/>
            <w:noWrap w:val="0"/>
            <w:vAlign w:val="center"/>
          </w:tcPr>
          <w:p>
            <w:pPr>
              <w:spacing w:line="30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声响要求</w:t>
            </w:r>
          </w:p>
        </w:tc>
        <w:tc>
          <w:tcPr>
            <w:tcW w:w="1808" w:type="pct"/>
            <w:noWrap w:val="0"/>
            <w:vAlign w:val="center"/>
          </w:tcPr>
          <w:p>
            <w:pPr>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40</w:t>
            </w:r>
          </w:p>
        </w:tc>
        <w:tc>
          <w:tcPr>
            <w:tcW w:w="2269" w:type="pct"/>
            <w:noWrap w:val="0"/>
            <w:vAlign w:val="center"/>
          </w:tcPr>
          <w:p>
            <w:pPr>
              <w:spacing w:line="30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磁体和磁性部件</w:t>
            </w:r>
          </w:p>
        </w:tc>
        <w:tc>
          <w:tcPr>
            <w:tcW w:w="1808" w:type="pct"/>
            <w:noWrap w:val="0"/>
            <w:vAlign w:val="center"/>
          </w:tcPr>
          <w:p>
            <w:pPr>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3"/>
            <w:noWrap w:val="0"/>
            <w:vAlign w:val="center"/>
          </w:tcPr>
          <w:p>
            <w:pPr>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二、机械与物理性能（可预见的合理滥用）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1</w:t>
            </w:r>
          </w:p>
        </w:tc>
        <w:tc>
          <w:tcPr>
            <w:tcW w:w="2269" w:type="pct"/>
            <w:noWrap w:val="0"/>
            <w:vAlign w:val="center"/>
          </w:tcPr>
          <w:p>
            <w:pPr>
              <w:spacing w:line="30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小零件</w:t>
            </w:r>
          </w:p>
        </w:tc>
        <w:tc>
          <w:tcPr>
            <w:tcW w:w="1808" w:type="pct"/>
            <w:noWrap w:val="0"/>
            <w:vAlign w:val="center"/>
          </w:tcPr>
          <w:p>
            <w:pPr>
              <w:pStyle w:val="7"/>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2</w:t>
            </w:r>
          </w:p>
        </w:tc>
        <w:tc>
          <w:tcPr>
            <w:tcW w:w="2269" w:type="pct"/>
            <w:noWrap w:val="0"/>
            <w:vAlign w:val="center"/>
          </w:tcPr>
          <w:p>
            <w:pPr>
              <w:pStyle w:val="7"/>
              <w:spacing w:line="300" w:lineRule="auto"/>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小球</w:t>
            </w:r>
          </w:p>
        </w:tc>
        <w:tc>
          <w:tcPr>
            <w:tcW w:w="1808" w:type="pct"/>
            <w:noWrap w:val="0"/>
            <w:vAlign w:val="center"/>
          </w:tcPr>
          <w:p>
            <w:pPr>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3</w:t>
            </w:r>
          </w:p>
        </w:tc>
        <w:tc>
          <w:tcPr>
            <w:tcW w:w="2269" w:type="pct"/>
            <w:noWrap w:val="0"/>
            <w:vAlign w:val="center"/>
          </w:tcPr>
          <w:p>
            <w:pPr>
              <w:pStyle w:val="7"/>
              <w:spacing w:line="300" w:lineRule="auto"/>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毛球</w:t>
            </w:r>
          </w:p>
        </w:tc>
        <w:tc>
          <w:tcPr>
            <w:tcW w:w="1808" w:type="pct"/>
            <w:noWrap w:val="0"/>
            <w:vAlign w:val="center"/>
          </w:tcPr>
          <w:p>
            <w:pPr>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4</w:t>
            </w:r>
          </w:p>
        </w:tc>
        <w:tc>
          <w:tcPr>
            <w:tcW w:w="2269" w:type="pct"/>
            <w:noWrap w:val="0"/>
            <w:vAlign w:val="center"/>
          </w:tcPr>
          <w:p>
            <w:pPr>
              <w:spacing w:line="30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弹珠</w:t>
            </w:r>
          </w:p>
        </w:tc>
        <w:tc>
          <w:tcPr>
            <w:tcW w:w="1808" w:type="pct"/>
            <w:noWrap w:val="0"/>
            <w:vAlign w:val="center"/>
          </w:tcPr>
          <w:p>
            <w:pPr>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5</w:t>
            </w:r>
          </w:p>
        </w:tc>
        <w:tc>
          <w:tcPr>
            <w:tcW w:w="2269" w:type="pct"/>
            <w:noWrap w:val="0"/>
            <w:vAlign w:val="center"/>
          </w:tcPr>
          <w:p>
            <w:pPr>
              <w:spacing w:line="30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可触及的金属或玻璃边缘</w:t>
            </w:r>
          </w:p>
        </w:tc>
        <w:tc>
          <w:tcPr>
            <w:tcW w:w="1808" w:type="pct"/>
            <w:noWrap w:val="0"/>
            <w:vAlign w:val="center"/>
          </w:tcPr>
          <w:p>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6</w:t>
            </w:r>
          </w:p>
        </w:tc>
        <w:tc>
          <w:tcPr>
            <w:tcW w:w="2269" w:type="pct"/>
            <w:noWrap w:val="0"/>
            <w:vAlign w:val="center"/>
          </w:tcPr>
          <w:p>
            <w:pPr>
              <w:spacing w:line="320" w:lineRule="exact"/>
              <w:rPr>
                <w:rFonts w:hint="eastAsia" w:ascii="仿宋" w:hAnsi="仿宋" w:eastAsia="仿宋" w:cs="仿宋"/>
                <w:bCs/>
                <w:sz w:val="24"/>
                <w:szCs w:val="24"/>
                <w:highlight w:val="none"/>
              </w:rPr>
            </w:pPr>
            <w:r>
              <w:rPr>
                <w:rFonts w:hint="eastAsia" w:ascii="仿宋" w:hAnsi="仿宋" w:eastAsia="仿宋" w:cs="仿宋"/>
                <w:bCs/>
                <w:kern w:val="0"/>
                <w:sz w:val="24"/>
                <w:szCs w:val="24"/>
                <w:highlight w:val="none"/>
              </w:rPr>
              <w:t>金属玩具边缘</w:t>
            </w:r>
          </w:p>
        </w:tc>
        <w:tc>
          <w:tcPr>
            <w:tcW w:w="1808" w:type="pct"/>
            <w:noWrap w:val="0"/>
            <w:vAlign w:val="center"/>
          </w:tcPr>
          <w:p>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7</w:t>
            </w:r>
          </w:p>
        </w:tc>
        <w:tc>
          <w:tcPr>
            <w:tcW w:w="2269" w:type="pct"/>
            <w:noWrap w:val="0"/>
            <w:vAlign w:val="center"/>
          </w:tcPr>
          <w:p>
            <w:pPr>
              <w:pStyle w:val="7"/>
              <w:spacing w:line="300" w:lineRule="auto"/>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模塑玩具边缘</w:t>
            </w:r>
          </w:p>
        </w:tc>
        <w:tc>
          <w:tcPr>
            <w:tcW w:w="1808" w:type="pct"/>
            <w:noWrap w:val="0"/>
            <w:vAlign w:val="center"/>
          </w:tcPr>
          <w:p>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8</w:t>
            </w:r>
          </w:p>
        </w:tc>
        <w:tc>
          <w:tcPr>
            <w:tcW w:w="2269" w:type="pct"/>
            <w:noWrap w:val="0"/>
            <w:vAlign w:val="center"/>
          </w:tcPr>
          <w:p>
            <w:pPr>
              <w:pStyle w:val="7"/>
              <w:spacing w:line="300" w:lineRule="auto"/>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外露螺栓或螺纹杆的边缘</w:t>
            </w:r>
          </w:p>
        </w:tc>
        <w:tc>
          <w:tcPr>
            <w:tcW w:w="1808" w:type="pct"/>
            <w:noWrap w:val="0"/>
            <w:vAlign w:val="center"/>
          </w:tcPr>
          <w:p>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9</w:t>
            </w:r>
          </w:p>
        </w:tc>
        <w:tc>
          <w:tcPr>
            <w:tcW w:w="2269" w:type="pct"/>
            <w:noWrap w:val="0"/>
            <w:vAlign w:val="center"/>
          </w:tcPr>
          <w:p>
            <w:pPr>
              <w:spacing w:line="30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可触及的锐利尖端</w:t>
            </w:r>
          </w:p>
        </w:tc>
        <w:tc>
          <w:tcPr>
            <w:tcW w:w="1808" w:type="pct"/>
            <w:noWrap w:val="0"/>
            <w:vAlign w:val="center"/>
          </w:tcPr>
          <w:p>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10</w:t>
            </w:r>
          </w:p>
        </w:tc>
        <w:tc>
          <w:tcPr>
            <w:tcW w:w="2269" w:type="pct"/>
            <w:noWrap w:val="0"/>
            <w:vAlign w:val="center"/>
          </w:tcPr>
          <w:p>
            <w:pPr>
              <w:spacing w:line="30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突出物</w:t>
            </w:r>
          </w:p>
        </w:tc>
        <w:tc>
          <w:tcPr>
            <w:tcW w:w="1808" w:type="pct"/>
            <w:noWrap w:val="0"/>
            <w:vAlign w:val="center"/>
          </w:tcPr>
          <w:p>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11</w:t>
            </w:r>
          </w:p>
        </w:tc>
        <w:tc>
          <w:tcPr>
            <w:tcW w:w="2269" w:type="pct"/>
            <w:noWrap w:val="0"/>
            <w:vAlign w:val="center"/>
          </w:tcPr>
          <w:p>
            <w:pPr>
              <w:spacing w:line="30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金属丝和杆件</w:t>
            </w:r>
          </w:p>
        </w:tc>
        <w:tc>
          <w:tcPr>
            <w:tcW w:w="1808" w:type="pct"/>
            <w:noWrap w:val="0"/>
            <w:vAlign w:val="center"/>
          </w:tcPr>
          <w:p>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12</w:t>
            </w:r>
          </w:p>
        </w:tc>
        <w:tc>
          <w:tcPr>
            <w:tcW w:w="2269" w:type="pct"/>
            <w:noWrap w:val="0"/>
            <w:vAlign w:val="center"/>
          </w:tcPr>
          <w:p>
            <w:pPr>
              <w:spacing w:line="30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刚性材料上的圆孔</w:t>
            </w:r>
          </w:p>
        </w:tc>
        <w:tc>
          <w:tcPr>
            <w:tcW w:w="1808" w:type="pct"/>
            <w:noWrap w:val="0"/>
            <w:vAlign w:val="center"/>
          </w:tcPr>
          <w:p>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13</w:t>
            </w:r>
          </w:p>
        </w:tc>
        <w:tc>
          <w:tcPr>
            <w:tcW w:w="2269" w:type="pct"/>
            <w:noWrap w:val="0"/>
            <w:vAlign w:val="center"/>
          </w:tcPr>
          <w:p>
            <w:pPr>
              <w:spacing w:line="30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活动部件间的间隙</w:t>
            </w:r>
          </w:p>
        </w:tc>
        <w:tc>
          <w:tcPr>
            <w:tcW w:w="1808" w:type="pct"/>
            <w:noWrap w:val="0"/>
            <w:vAlign w:val="center"/>
          </w:tcPr>
          <w:p>
            <w:pPr>
              <w:pStyle w:val="11"/>
              <w:adjustRightInd w:val="0"/>
              <w:snapToGrid w:val="0"/>
              <w:ind w:left="0"/>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14</w:t>
            </w:r>
          </w:p>
        </w:tc>
        <w:tc>
          <w:tcPr>
            <w:tcW w:w="2269" w:type="pct"/>
            <w:noWrap w:val="0"/>
            <w:vAlign w:val="center"/>
          </w:tcPr>
          <w:p>
            <w:pPr>
              <w:spacing w:line="30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其他驱动机构</w:t>
            </w:r>
          </w:p>
        </w:tc>
        <w:tc>
          <w:tcPr>
            <w:tcW w:w="1808" w:type="pct"/>
            <w:noWrap w:val="0"/>
            <w:vAlign w:val="center"/>
          </w:tcPr>
          <w:p>
            <w:pPr>
              <w:pStyle w:val="11"/>
              <w:adjustRightInd w:val="0"/>
              <w:snapToGrid w:val="0"/>
              <w:ind w:left="0"/>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15</w:t>
            </w:r>
          </w:p>
        </w:tc>
        <w:tc>
          <w:tcPr>
            <w:tcW w:w="2269" w:type="pct"/>
            <w:noWrap w:val="0"/>
            <w:vAlign w:val="center"/>
          </w:tcPr>
          <w:p>
            <w:pPr>
              <w:spacing w:line="30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发条钥匙</w:t>
            </w:r>
          </w:p>
        </w:tc>
        <w:tc>
          <w:tcPr>
            <w:tcW w:w="1808" w:type="pct"/>
            <w:noWrap w:val="0"/>
            <w:vAlign w:val="center"/>
          </w:tcPr>
          <w:p>
            <w:pPr>
              <w:pStyle w:val="11"/>
              <w:adjustRightInd w:val="0"/>
              <w:snapToGrid w:val="0"/>
              <w:ind w:left="0"/>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16</w:t>
            </w:r>
          </w:p>
        </w:tc>
        <w:tc>
          <w:tcPr>
            <w:tcW w:w="2269" w:type="pct"/>
            <w:noWrap w:val="0"/>
            <w:vAlign w:val="center"/>
          </w:tcPr>
          <w:p>
            <w:pPr>
              <w:spacing w:line="30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蓄能弹射玩具</w:t>
            </w:r>
          </w:p>
        </w:tc>
        <w:tc>
          <w:tcPr>
            <w:tcW w:w="1808" w:type="pct"/>
            <w:noWrap w:val="0"/>
            <w:vAlign w:val="center"/>
          </w:tcPr>
          <w:p>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17</w:t>
            </w:r>
          </w:p>
        </w:tc>
        <w:tc>
          <w:tcPr>
            <w:tcW w:w="2269" w:type="pct"/>
            <w:noWrap w:val="0"/>
            <w:vAlign w:val="center"/>
          </w:tcPr>
          <w:p>
            <w:pPr>
              <w:spacing w:line="30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非蓄能弹射玩具</w:t>
            </w:r>
          </w:p>
        </w:tc>
        <w:tc>
          <w:tcPr>
            <w:tcW w:w="1808" w:type="pct"/>
            <w:noWrap w:val="0"/>
            <w:vAlign w:val="center"/>
          </w:tcPr>
          <w:p>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18</w:t>
            </w:r>
          </w:p>
        </w:tc>
        <w:tc>
          <w:tcPr>
            <w:tcW w:w="2269" w:type="pct"/>
            <w:noWrap w:val="0"/>
            <w:vAlign w:val="center"/>
          </w:tcPr>
          <w:p>
            <w:pPr>
              <w:spacing w:line="30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口动玩具</w:t>
            </w:r>
          </w:p>
        </w:tc>
        <w:tc>
          <w:tcPr>
            <w:tcW w:w="1808" w:type="pct"/>
            <w:noWrap w:val="0"/>
            <w:vAlign w:val="center"/>
          </w:tcPr>
          <w:p>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3"/>
            <w:noWrap w:val="0"/>
            <w:vAlign w:val="center"/>
          </w:tcPr>
          <w:p>
            <w:pPr>
              <w:pStyle w:val="11"/>
              <w:adjustRightInd w:val="0"/>
              <w:snapToGrid w:val="0"/>
              <w:ind w:left="0"/>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三、易燃性能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1</w:t>
            </w:r>
          </w:p>
        </w:tc>
        <w:tc>
          <w:tcPr>
            <w:tcW w:w="2269" w:type="pct"/>
            <w:noWrap w:val="0"/>
            <w:vAlign w:val="center"/>
          </w:tcPr>
          <w:p>
            <w:pPr>
              <w:pStyle w:val="7"/>
              <w:spacing w:line="300" w:lineRule="auto"/>
              <w:rPr>
                <w:rFonts w:hint="eastAsia" w:ascii="仿宋" w:hAnsi="仿宋" w:eastAsia="仿宋" w:cs="仿宋"/>
                <w:bCs/>
                <w:kern w:val="2"/>
                <w:sz w:val="24"/>
                <w:szCs w:val="24"/>
                <w:highlight w:val="none"/>
              </w:rPr>
            </w:pPr>
            <w:r>
              <w:rPr>
                <w:rFonts w:hint="eastAsia" w:ascii="仿宋" w:hAnsi="仿宋" w:eastAsia="仿宋" w:cs="仿宋"/>
                <w:bCs/>
                <w:kern w:val="2"/>
                <w:sz w:val="24"/>
                <w:szCs w:val="24"/>
                <w:highlight w:val="none"/>
              </w:rPr>
              <w:t>一般要求</w:t>
            </w:r>
          </w:p>
        </w:tc>
        <w:tc>
          <w:tcPr>
            <w:tcW w:w="1808" w:type="pct"/>
            <w:noWrap w:val="0"/>
            <w:vAlign w:val="center"/>
          </w:tcPr>
          <w:p>
            <w:pPr>
              <w:pStyle w:val="7"/>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2</w:t>
            </w:r>
          </w:p>
        </w:tc>
        <w:tc>
          <w:tcPr>
            <w:tcW w:w="2269" w:type="pct"/>
            <w:noWrap w:val="0"/>
            <w:vAlign w:val="center"/>
          </w:tcPr>
          <w:p>
            <w:pPr>
              <w:pStyle w:val="7"/>
              <w:spacing w:line="300" w:lineRule="auto"/>
              <w:rPr>
                <w:rFonts w:hint="eastAsia" w:ascii="仿宋" w:hAnsi="仿宋" w:eastAsia="仿宋" w:cs="仿宋"/>
                <w:bCs/>
                <w:kern w:val="2"/>
                <w:sz w:val="24"/>
                <w:szCs w:val="24"/>
                <w:highlight w:val="none"/>
              </w:rPr>
            </w:pPr>
            <w:r>
              <w:rPr>
                <w:rFonts w:hint="eastAsia" w:ascii="仿宋" w:hAnsi="仿宋" w:eastAsia="仿宋" w:cs="仿宋"/>
                <w:bCs/>
                <w:kern w:val="2"/>
                <w:sz w:val="24"/>
                <w:szCs w:val="24"/>
                <w:highlight w:val="none"/>
              </w:rPr>
              <w:t>头戴玩具</w:t>
            </w:r>
          </w:p>
        </w:tc>
        <w:tc>
          <w:tcPr>
            <w:tcW w:w="1808" w:type="pct"/>
            <w:noWrap w:val="0"/>
            <w:vAlign w:val="center"/>
          </w:tcPr>
          <w:p>
            <w:pPr>
              <w:pStyle w:val="7"/>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3</w:t>
            </w:r>
          </w:p>
        </w:tc>
        <w:tc>
          <w:tcPr>
            <w:tcW w:w="2269" w:type="pct"/>
            <w:noWrap w:val="0"/>
            <w:vAlign w:val="center"/>
          </w:tcPr>
          <w:p>
            <w:pPr>
              <w:pStyle w:val="7"/>
              <w:spacing w:line="300" w:lineRule="auto"/>
              <w:rPr>
                <w:rFonts w:hint="eastAsia" w:ascii="仿宋" w:hAnsi="仿宋" w:eastAsia="仿宋" w:cs="仿宋"/>
                <w:bCs/>
                <w:kern w:val="2"/>
                <w:sz w:val="24"/>
                <w:szCs w:val="24"/>
                <w:highlight w:val="none"/>
              </w:rPr>
            </w:pPr>
            <w:r>
              <w:rPr>
                <w:rFonts w:hint="eastAsia" w:ascii="仿宋" w:hAnsi="仿宋" w:eastAsia="仿宋" w:cs="仿宋"/>
                <w:bCs/>
                <w:kern w:val="2"/>
                <w:sz w:val="24"/>
                <w:szCs w:val="24"/>
                <w:highlight w:val="none"/>
              </w:rPr>
              <w:t>化妆服饰</w:t>
            </w:r>
          </w:p>
        </w:tc>
        <w:tc>
          <w:tcPr>
            <w:tcW w:w="1808" w:type="pct"/>
            <w:noWrap w:val="0"/>
            <w:vAlign w:val="center"/>
          </w:tcPr>
          <w:p>
            <w:pPr>
              <w:pStyle w:val="7"/>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4</w:t>
            </w:r>
          </w:p>
        </w:tc>
        <w:tc>
          <w:tcPr>
            <w:tcW w:w="2269" w:type="pct"/>
            <w:noWrap w:val="0"/>
            <w:vAlign w:val="center"/>
          </w:tcPr>
          <w:p>
            <w:pPr>
              <w:pStyle w:val="7"/>
              <w:spacing w:line="300" w:lineRule="exact"/>
              <w:rPr>
                <w:rFonts w:hint="eastAsia" w:ascii="仿宋" w:hAnsi="仿宋" w:eastAsia="仿宋" w:cs="仿宋"/>
                <w:bCs/>
                <w:kern w:val="2"/>
                <w:sz w:val="24"/>
                <w:szCs w:val="24"/>
                <w:highlight w:val="none"/>
              </w:rPr>
            </w:pPr>
            <w:r>
              <w:rPr>
                <w:rFonts w:hint="eastAsia" w:ascii="仿宋" w:hAnsi="仿宋" w:eastAsia="仿宋" w:cs="仿宋"/>
                <w:bCs/>
                <w:kern w:val="2"/>
                <w:sz w:val="24"/>
                <w:szCs w:val="24"/>
                <w:highlight w:val="none"/>
              </w:rPr>
              <w:t>具有毛绒或纺织表面的软体填充玩具（动物和娃娃等）</w:t>
            </w:r>
          </w:p>
        </w:tc>
        <w:tc>
          <w:tcPr>
            <w:tcW w:w="1808" w:type="pct"/>
            <w:noWrap w:val="0"/>
            <w:vAlign w:val="center"/>
          </w:tcPr>
          <w:p>
            <w:pPr>
              <w:pStyle w:val="7"/>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GB 6675.3-2014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3"/>
            <w:noWrap w:val="0"/>
            <w:vAlign w:val="center"/>
          </w:tcPr>
          <w:p>
            <w:pPr>
              <w:pStyle w:val="7"/>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四、特定元素的迁移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1</w:t>
            </w:r>
          </w:p>
        </w:tc>
        <w:tc>
          <w:tcPr>
            <w:tcW w:w="2269" w:type="pct"/>
            <w:noWrap w:val="0"/>
            <w:vAlign w:val="center"/>
          </w:tcPr>
          <w:p>
            <w:pPr>
              <w:spacing w:line="30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最大限量要求</w:t>
            </w:r>
          </w:p>
        </w:tc>
        <w:tc>
          <w:tcPr>
            <w:tcW w:w="1808"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GB 6675.4-2014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3"/>
            <w:noWrap w:val="0"/>
            <w:vAlign w:val="center"/>
          </w:tcPr>
          <w:p>
            <w:pPr>
              <w:pStyle w:val="7"/>
              <w:spacing w:line="300" w:lineRule="auto"/>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五、增塑剂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1</w:t>
            </w:r>
          </w:p>
        </w:tc>
        <w:tc>
          <w:tcPr>
            <w:tcW w:w="2269" w:type="pct"/>
            <w:noWrap w:val="0"/>
            <w:vAlign w:val="center"/>
          </w:tcPr>
          <w:p>
            <w:pPr>
              <w:spacing w:line="30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限定增塑剂限量要求</w:t>
            </w:r>
          </w:p>
        </w:tc>
        <w:tc>
          <w:tcPr>
            <w:tcW w:w="1808" w:type="pct"/>
            <w:noWrap w:val="0"/>
            <w:vAlign w:val="center"/>
          </w:tcPr>
          <w:p>
            <w:pPr>
              <w:pStyle w:val="7"/>
              <w:spacing w:line="30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GB/T 22048-2015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3"/>
            <w:noWrap w:val="0"/>
            <w:vAlign w:val="center"/>
          </w:tcPr>
          <w:p>
            <w:pPr>
              <w:widowControl/>
              <w:spacing w:before="100" w:beforeAutospacing="1" w:after="100" w:afterAutospacing="1" w:line="360" w:lineRule="atLeast"/>
              <w:rPr>
                <w:rFonts w:hint="eastAsia" w:ascii="仿宋" w:hAnsi="仿宋" w:eastAsia="仿宋" w:cs="仿宋"/>
                <w:color w:val="000000"/>
                <w:kern w:val="0"/>
                <w:sz w:val="24"/>
                <w:szCs w:val="24"/>
                <w:highlight w:val="none"/>
              </w:rPr>
            </w:pPr>
            <w:r>
              <w:rPr>
                <w:rFonts w:hint="eastAsia" w:ascii="仿宋" w:hAnsi="仿宋" w:eastAsia="仿宋" w:cs="仿宋"/>
                <w:bCs/>
                <w:sz w:val="24"/>
                <w:szCs w:val="24"/>
                <w:highlight w:val="none"/>
              </w:rPr>
              <w:t>六、电性能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2" w:type="pct"/>
            <w:noWrap w:val="0"/>
            <w:vAlign w:val="center"/>
          </w:tcPr>
          <w:p>
            <w:pPr>
              <w:widowControl/>
              <w:spacing w:before="100" w:beforeAutospacing="1" w:after="100" w:afterAutospacing="1" w:line="360" w:lineRule="atLeast"/>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1</w:t>
            </w:r>
          </w:p>
        </w:tc>
        <w:tc>
          <w:tcPr>
            <w:tcW w:w="2269" w:type="pct"/>
            <w:noWrap w:val="0"/>
            <w:vAlign w:val="center"/>
          </w:tcPr>
          <w:p>
            <w:pPr>
              <w:widowControl/>
              <w:spacing w:before="100" w:beforeAutospacing="1" w:after="100" w:afterAutospacing="1" w:line="360" w:lineRule="atLeast"/>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发热和非正常工作</w:t>
            </w:r>
          </w:p>
        </w:tc>
        <w:tc>
          <w:tcPr>
            <w:tcW w:w="1808" w:type="pct"/>
            <w:noWrap w:val="0"/>
            <w:vAlign w:val="center"/>
          </w:tcPr>
          <w:p>
            <w:pPr>
              <w:widowControl/>
              <w:spacing w:before="100" w:beforeAutospacing="1" w:after="100" w:afterAutospacing="1" w:line="360" w:lineRule="atLeast"/>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GB 19865-2005</w:t>
            </w:r>
          </w:p>
        </w:tc>
      </w:tr>
    </w:tbl>
    <w:p>
      <w:pPr>
        <w:snapToGrid w:val="0"/>
        <w:spacing w:line="440" w:lineRule="exact"/>
        <w:ind w:firstLine="410" w:firstLineChars="171"/>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执行企业标准、团体标准、地方标准的产品，检验项目参照上述内容执行。</w:t>
      </w:r>
    </w:p>
    <w:p>
      <w:pPr>
        <w:snapToGrid w:val="0"/>
        <w:spacing w:line="440" w:lineRule="exact"/>
        <w:ind w:firstLine="410" w:firstLineChars="171"/>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凡是注日期的文件，其随后所有的修改单（不包括勘误的内容）或修订版不适用于本细则。凡是不注日期的文件，其最新版本适用于本细则。</w:t>
      </w:r>
    </w:p>
    <w:p>
      <w:pPr>
        <w:snapToGrid w:val="0"/>
        <w:spacing w:line="440" w:lineRule="exact"/>
        <w:ind w:firstLine="410" w:firstLineChars="171"/>
        <w:rPr>
          <w:rFonts w:hint="eastAsia" w:ascii="仿宋" w:hAnsi="仿宋" w:eastAsia="仿宋" w:cs="仿宋"/>
          <w:color w:val="000000"/>
          <w:sz w:val="24"/>
          <w:szCs w:val="24"/>
          <w:highlight w:val="none"/>
        </w:rPr>
      </w:pPr>
    </w:p>
    <w:p>
      <w:pPr>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 判定规则</w:t>
      </w:r>
    </w:p>
    <w:p>
      <w:pPr>
        <w:snapToGrid w:val="0"/>
        <w:spacing w:line="44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3.1依据标准</w:t>
      </w:r>
    </w:p>
    <w:p>
      <w:pPr>
        <w:adjustRightInd w:val="0"/>
        <w:snapToGrid w:val="0"/>
        <w:spacing w:line="44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 6675.1-2014 玩具安全 第1部分：基本规范</w:t>
      </w:r>
    </w:p>
    <w:p>
      <w:pPr>
        <w:adjustRightInd w:val="0"/>
        <w:snapToGrid w:val="0"/>
        <w:spacing w:line="44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 6675.2-2014 玩具安全 第2部分：机械与物理性能</w:t>
      </w:r>
    </w:p>
    <w:p>
      <w:pPr>
        <w:adjustRightInd w:val="0"/>
        <w:snapToGrid w:val="0"/>
        <w:spacing w:line="44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 6675.3-2014 玩具安全 第3部分：易燃性能</w:t>
      </w:r>
    </w:p>
    <w:p>
      <w:pPr>
        <w:adjustRightInd w:val="0"/>
        <w:snapToGrid w:val="0"/>
        <w:spacing w:line="44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 6675.4-2014 玩具安全 第4部分：特定元素的迁移</w:t>
      </w:r>
    </w:p>
    <w:p>
      <w:pPr>
        <w:adjustRightInd w:val="0"/>
        <w:snapToGrid w:val="0"/>
        <w:spacing w:line="440" w:lineRule="exact"/>
        <w:ind w:firstLine="480" w:firstLineChars="200"/>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rPr>
        <w:t>GB 19865-2005 电玩具的安全</w:t>
      </w:r>
    </w:p>
    <w:p>
      <w:pPr>
        <w:adjustRightInd w:val="0"/>
        <w:snapToGrid w:val="0"/>
        <w:spacing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GB/T 22048-2015 玩具及儿童用品中特定邻苯二甲酸酯增塑剂的测定</w:t>
      </w:r>
    </w:p>
    <w:p>
      <w:pPr>
        <w:snapToGrid w:val="0"/>
        <w:spacing w:line="440" w:lineRule="exact"/>
        <w:ind w:firstLine="410" w:firstLineChars="171"/>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现行有效的企业标准、团体标准、地方标准及产品明示质量要求</w:t>
      </w:r>
    </w:p>
    <w:p>
      <w:pPr>
        <w:snapToGrid w:val="0"/>
        <w:spacing w:line="44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3.2判定原则</w:t>
      </w:r>
    </w:p>
    <w:p>
      <w:pPr>
        <w:snapToGrid w:val="0"/>
        <w:spacing w:line="44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经检验，检验项目全部合格，判定为被抽查产品所检项目未发现不合格；检验项目中任一项或一项以上不合格，判定为被抽查产品不合格。</w:t>
      </w:r>
    </w:p>
    <w:p>
      <w:pPr>
        <w:snapToGrid w:val="0"/>
        <w:spacing w:line="440"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若被检产品明示的质量要求高于本细则中检验项目依据的标准要求时，应按被检产品明示的质量要求判定。</w:t>
      </w:r>
    </w:p>
    <w:p>
      <w:pPr>
        <w:snapToGrid w:val="0"/>
        <w:spacing w:line="440"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若被检产品明示的质量要求低于本细则中检验项目依据的强制性标准要求时，应按照强制性标准要求判定。</w:t>
      </w:r>
    </w:p>
    <w:p>
      <w:pPr>
        <w:snapToGrid w:val="0"/>
        <w:spacing w:line="440"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若被检产品明示的质量要求低于或包含本细则中检验项目依据的推荐性标准要求时，应以被检产品明示的质量要求判定。</w:t>
      </w:r>
    </w:p>
    <w:p>
      <w:pPr>
        <w:snapToGrid w:val="0"/>
        <w:spacing w:line="440"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若被检产品明示的质量要求缺少本细则中检验项目依据的强制性标准要求时，应按照强制性标准要求判定。</w:t>
      </w:r>
    </w:p>
    <w:p>
      <w:pPr>
        <w:snapToGrid w:val="0"/>
        <w:spacing w:line="440"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若被检产品明示的质量要求缺少本细则中检验项目依据的推荐性标准要求时，该项目不参与判定。</w:t>
      </w:r>
    </w:p>
    <w:p>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zYzJmODY3NjM1NGY3Y2ZkMzUxYjZkOGMwMTM3M2MifQ=="/>
  </w:docVars>
  <w:rsids>
    <w:rsidRoot w:val="6E380771"/>
    <w:rsid w:val="10602945"/>
    <w:rsid w:val="11BF7A14"/>
    <w:rsid w:val="14CD52E3"/>
    <w:rsid w:val="29F611D8"/>
    <w:rsid w:val="2FE059A7"/>
    <w:rsid w:val="349B05D2"/>
    <w:rsid w:val="3D73184C"/>
    <w:rsid w:val="3D927079"/>
    <w:rsid w:val="408366A3"/>
    <w:rsid w:val="49B74219"/>
    <w:rsid w:val="5945183F"/>
    <w:rsid w:val="5EBB78A0"/>
    <w:rsid w:val="62565992"/>
    <w:rsid w:val="6E380771"/>
    <w:rsid w:val="74AE0A1F"/>
    <w:rsid w:val="7AF573A9"/>
    <w:rsid w:val="7BA21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spacing w:after="120" w:line="276" w:lineRule="auto"/>
      <w:ind w:left="420" w:leftChars="200" w:firstLine="420" w:firstLineChars="200"/>
      <w:jc w:val="left"/>
    </w:pPr>
    <w:rPr>
      <w:rFonts w:ascii="Calibri" w:hAnsi="Calibri"/>
      <w:kern w:val="0"/>
      <w:sz w:val="22"/>
      <w:szCs w:val="22"/>
      <w:lang w:eastAsia="en-US"/>
    </w:rPr>
  </w:style>
  <w:style w:type="paragraph" w:styleId="3">
    <w:name w:val="Body Text Indent"/>
    <w:basedOn w:val="1"/>
    <w:next w:val="1"/>
    <w:qFormat/>
    <w:uiPriority w:val="0"/>
    <w:pPr>
      <w:ind w:firstLine="600" w:firstLineChars="200"/>
    </w:pPr>
    <w:rPr>
      <w:rFonts w:ascii="宋体" w:hAnsi="宋体"/>
      <w:sz w:val="30"/>
    </w:rPr>
  </w:style>
  <w:style w:type="paragraph" w:styleId="4">
    <w:name w:val="Body Text First Indent"/>
    <w:basedOn w:val="5"/>
    <w:next w:val="2"/>
    <w:qFormat/>
    <w:uiPriority w:val="0"/>
    <w:pPr>
      <w:spacing w:after="120" w:afterLines="0"/>
      <w:ind w:firstLine="420"/>
    </w:pPr>
  </w:style>
  <w:style w:type="paragraph" w:styleId="5">
    <w:name w:val="Body Text"/>
    <w:basedOn w:val="1"/>
    <w:next w:val="6"/>
    <w:qFormat/>
    <w:uiPriority w:val="0"/>
    <w:pPr>
      <w:spacing w:after="120"/>
    </w:pPr>
  </w:style>
  <w:style w:type="paragraph" w:customStyle="1" w:styleId="6">
    <w:name w:val="Style1"/>
    <w:basedOn w:val="1"/>
    <w:qFormat/>
    <w:uiPriority w:val="0"/>
    <w:pPr>
      <w:widowControl/>
      <w:tabs>
        <w:tab w:val="left" w:pos="-720"/>
      </w:tabs>
      <w:spacing w:after="120" w:afterLines="0" w:afterAutospacing="0"/>
    </w:pPr>
    <w:rPr>
      <w:spacing w:val="-3"/>
      <w:kern w:val="0"/>
      <w:sz w:val="24"/>
      <w:lang w:val="en-AU" w:eastAsia="en-US"/>
    </w:rPr>
  </w:style>
  <w:style w:type="paragraph" w:styleId="7">
    <w:name w:val="Plain Text"/>
    <w:basedOn w:val="1"/>
    <w:qFormat/>
    <w:uiPriority w:val="99"/>
    <w:rPr>
      <w:rFonts w:ascii="宋体" w:hAnsi="Courier New"/>
      <w:kern w:val="0"/>
      <w:sz w:val="20"/>
      <w:szCs w:val="20"/>
    </w:rPr>
  </w:style>
  <w:style w:type="paragraph" w:styleId="8">
    <w:name w:val="footer"/>
    <w:basedOn w:val="1"/>
    <w:unhideWhenUsed/>
    <w:qFormat/>
    <w:uiPriority w:val="99"/>
    <w:pPr>
      <w:tabs>
        <w:tab w:val="center" w:pos="4153"/>
        <w:tab w:val="right" w:pos="8306"/>
      </w:tabs>
      <w:snapToGrid w:val="0"/>
      <w:jc w:val="left"/>
    </w:pPr>
    <w:rPr>
      <w:sz w:val="18"/>
      <w:szCs w:val="18"/>
    </w:rPr>
  </w:style>
  <w:style w:type="paragraph" w:customStyle="1" w:styleId="11">
    <w:name w:val="列项·"/>
    <w:qFormat/>
    <w:uiPriority w:val="99"/>
    <w:pPr>
      <w:tabs>
        <w:tab w:val="left" w:pos="840"/>
      </w:tabs>
      <w:ind w:left="420"/>
      <w:jc w:val="both"/>
    </w:pPr>
    <w:rPr>
      <w:rFonts w:ascii="宋体" w:hAnsi="Times New Roman" w:eastAsia="宋体" w:cs="宋体"/>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2022-12-09T08:39:00Z</dcterms:created>
  <dc:creator>天正检测</dc:creator>
  <cp:lastModifiedBy>天正检测</cp:lastModifiedBy>
  <dcterms:modified xsi:type="dcterms:W3CDTF">2022-12-09T08:40:00Z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3290436F89F3493680CA82CC5CB9313E</vt:lpwstr>
  </property>
</Properties>
</file>