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皮鞋产品质量监督抽查实施细则</w:t>
      </w:r>
    </w:p>
    <w:p>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本细则适用市场监督管理局组织的皮鞋产品质量监督抽查。本细则规定了此产品的抽样方法、检验依据、检验项目、检验方法、判定原则等。</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抽样方法</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以随机抽样方式在被抽样生产者、销售者的待销产品中抽取。</w:t>
      </w:r>
    </w:p>
    <w:p>
      <w:pPr>
        <w:keepNext w:val="0"/>
        <w:keepLines w:val="0"/>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仿宋" w:hAnsi="仿宋" w:eastAsia="仿宋" w:cs="仿宋"/>
          <w:color w:val="000000"/>
          <w:spacing w:val="-6"/>
          <w:sz w:val="24"/>
          <w:szCs w:val="24"/>
          <w:highlight w:val="none"/>
        </w:rPr>
      </w:pPr>
      <w:r>
        <w:rPr>
          <w:rFonts w:hint="eastAsia" w:ascii="仿宋" w:hAnsi="仿宋" w:eastAsia="仿宋" w:cs="仿宋"/>
          <w:color w:val="000000"/>
          <w:sz w:val="24"/>
          <w:szCs w:val="24"/>
          <w:highlight w:val="none"/>
        </w:rPr>
        <w:t>随</w:t>
      </w:r>
      <w:r>
        <w:rPr>
          <w:rFonts w:hint="eastAsia" w:ascii="仿宋" w:hAnsi="仿宋" w:eastAsia="仿宋" w:cs="仿宋"/>
          <w:color w:val="000000"/>
          <w:spacing w:val="-6"/>
          <w:sz w:val="24"/>
          <w:szCs w:val="24"/>
          <w:highlight w:val="none"/>
        </w:rPr>
        <w:t>机数一般可使用随机数表、随机数骰子或扑克牌等方法产生。</w:t>
      </w:r>
    </w:p>
    <w:p>
      <w:pPr>
        <w:pStyle w:val="11"/>
        <w:widowControl w:val="0"/>
        <w:tabs>
          <w:tab w:val="clear" w:pos="840"/>
        </w:tabs>
        <w:spacing w:before="156" w:beforeLines="50" w:after="156" w:afterLines="50" w:line="560" w:lineRule="exact"/>
        <w:ind w:firstLine="198"/>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表1 抽取样品数量</w:t>
      </w:r>
    </w:p>
    <w:tbl>
      <w:tblPr>
        <w:tblStyle w:val="9"/>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980"/>
        <w:gridCol w:w="1755"/>
        <w:gridCol w:w="2055"/>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98" w:type="dxa"/>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序号</w:t>
            </w:r>
          </w:p>
        </w:tc>
        <w:tc>
          <w:tcPr>
            <w:tcW w:w="1980" w:type="dxa"/>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产品种类</w:t>
            </w:r>
          </w:p>
        </w:tc>
        <w:tc>
          <w:tcPr>
            <w:tcW w:w="1755" w:type="dxa"/>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抽样数量（双）</w:t>
            </w:r>
          </w:p>
        </w:tc>
        <w:tc>
          <w:tcPr>
            <w:tcW w:w="2055" w:type="dxa"/>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color w:val="000000"/>
                <w:sz w:val="24"/>
                <w:szCs w:val="24"/>
                <w:highlight w:val="none"/>
              </w:rPr>
              <w:t>检验样品数量</w:t>
            </w:r>
            <w:r>
              <w:rPr>
                <w:rFonts w:hint="eastAsia" w:ascii="仿宋" w:hAnsi="仿宋" w:eastAsia="仿宋" w:cs="仿宋"/>
                <w:bCs/>
                <w:color w:val="000000"/>
                <w:kern w:val="0"/>
                <w:sz w:val="24"/>
                <w:szCs w:val="24"/>
                <w:highlight w:val="none"/>
              </w:rPr>
              <w:t>（双）</w:t>
            </w:r>
          </w:p>
        </w:tc>
        <w:tc>
          <w:tcPr>
            <w:tcW w:w="2042" w:type="dxa"/>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color w:val="000000"/>
                <w:sz w:val="24"/>
                <w:szCs w:val="24"/>
                <w:highlight w:val="none"/>
              </w:rPr>
              <w:t>备用样品数量</w:t>
            </w:r>
            <w:r>
              <w:rPr>
                <w:rFonts w:hint="eastAsia" w:ascii="仿宋" w:hAnsi="仿宋" w:eastAsia="仿宋" w:cs="仿宋"/>
                <w:bCs/>
                <w:color w:val="000000"/>
                <w:kern w:val="0"/>
                <w:sz w:val="24"/>
                <w:szCs w:val="24"/>
                <w:highlight w:val="none"/>
              </w:rPr>
              <w:t>（双）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noWrap w:val="0"/>
            <w:vAlign w:val="center"/>
          </w:tcPr>
          <w:p>
            <w:pPr>
              <w:adjustRightIn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980" w:type="dxa"/>
            <w:noWrap w:val="0"/>
            <w:vAlign w:val="center"/>
          </w:tcPr>
          <w:p>
            <w:pPr>
              <w:adjustRightInd w:val="0"/>
              <w:jc w:val="center"/>
              <w:rPr>
                <w:rFonts w:hint="eastAsia" w:ascii="仿宋" w:hAnsi="仿宋" w:eastAsia="仿宋" w:cs="仿宋"/>
                <w:color w:val="000000"/>
                <w:sz w:val="24"/>
                <w:szCs w:val="24"/>
                <w:highlight w:val="none"/>
              </w:rPr>
            </w:pPr>
            <w:bookmarkStart w:id="0" w:name="_Hlk43207033"/>
            <w:r>
              <w:rPr>
                <w:rFonts w:hint="eastAsia" w:ascii="仿宋" w:hAnsi="仿宋" w:eastAsia="仿宋" w:cs="仿宋"/>
                <w:color w:val="000000"/>
                <w:sz w:val="24"/>
                <w:szCs w:val="24"/>
                <w:highlight w:val="none"/>
              </w:rPr>
              <w:t>皮鞋</w:t>
            </w:r>
            <w:bookmarkEnd w:id="0"/>
          </w:p>
        </w:tc>
        <w:tc>
          <w:tcPr>
            <w:tcW w:w="1755" w:type="dxa"/>
            <w:noWrap w:val="0"/>
            <w:vAlign w:val="center"/>
          </w:tcPr>
          <w:p>
            <w:pPr>
              <w:jc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3</w:t>
            </w:r>
          </w:p>
        </w:tc>
        <w:tc>
          <w:tcPr>
            <w:tcW w:w="2055" w:type="dxa"/>
            <w:noWrap w:val="0"/>
            <w:vAlign w:val="center"/>
          </w:tcPr>
          <w:p>
            <w:pPr>
              <w:jc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2</w:t>
            </w:r>
          </w:p>
        </w:tc>
        <w:tc>
          <w:tcPr>
            <w:tcW w:w="2042" w:type="dxa"/>
            <w:noWrap w:val="0"/>
            <w:vAlign w:val="center"/>
          </w:tcPr>
          <w:p>
            <w:pPr>
              <w:jc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1</w:t>
            </w:r>
          </w:p>
        </w:tc>
      </w:tr>
    </w:tbl>
    <w:p>
      <w:pPr>
        <w:adjustRightInd w:val="0"/>
        <w:snapToGrid w:val="0"/>
        <w:spacing w:before="156" w:beforeLines="50"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检验依据</w:t>
      </w:r>
    </w:p>
    <w:p>
      <w:pPr>
        <w:pStyle w:val="8"/>
        <w:widowControl w:val="0"/>
        <w:adjustRightInd w:val="0"/>
        <w:snapToGrid w:val="0"/>
        <w:spacing w:before="156" w:beforeLines="50" w:beforeAutospacing="0" w:after="156" w:afterLines="50" w:afterAutospacing="0" w:line="360" w:lineRule="auto"/>
        <w:ind w:firstLine="198"/>
        <w:contextualSpacing/>
        <w:jc w:val="center"/>
        <w:rPr>
          <w:rFonts w:hint="eastAsia" w:ascii="仿宋" w:hAnsi="仿宋" w:eastAsia="仿宋" w:cs="仿宋"/>
          <w:b/>
          <w:color w:val="000000"/>
          <w:kern w:val="2"/>
          <w:sz w:val="24"/>
          <w:szCs w:val="24"/>
          <w:highlight w:val="none"/>
        </w:rPr>
      </w:pPr>
      <w:r>
        <w:rPr>
          <w:rFonts w:hint="eastAsia" w:ascii="仿宋" w:hAnsi="仿宋" w:eastAsia="仿宋" w:cs="仿宋"/>
          <w:b/>
          <w:kern w:val="2"/>
          <w:sz w:val="24"/>
          <w:szCs w:val="24"/>
          <w:highlight w:val="none"/>
        </w:rPr>
        <w:t xml:space="preserve">表2 </w:t>
      </w:r>
      <w:r>
        <w:rPr>
          <w:rFonts w:hint="eastAsia" w:ascii="仿宋" w:hAnsi="仿宋" w:eastAsia="仿宋" w:cs="仿宋"/>
          <w:b/>
          <w:color w:val="000000"/>
          <w:kern w:val="2"/>
          <w:sz w:val="24"/>
          <w:szCs w:val="24"/>
          <w:highlight w:val="none"/>
        </w:rPr>
        <w:t>皮鞋</w:t>
      </w:r>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14"/>
        <w:gridCol w:w="3946"/>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7" w:hRule="atLeast"/>
          <w:tblHeader/>
          <w:jc w:val="center"/>
        </w:trPr>
        <w:tc>
          <w:tcPr>
            <w:tcW w:w="487" w:type="pct"/>
            <w:noWrap w:val="0"/>
            <w:vAlign w:val="center"/>
          </w:tcPr>
          <w:p>
            <w:pPr>
              <w:pStyle w:val="7"/>
              <w:adjustRightInd w:val="0"/>
              <w:snapToGrid w:val="0"/>
              <w:jc w:val="center"/>
              <w:rPr>
                <w:rFonts w:hint="eastAsia" w:ascii="仿宋" w:hAnsi="仿宋" w:eastAsia="仿宋" w:cs="仿宋"/>
                <w:color w:val="000000"/>
                <w:kern w:val="2"/>
                <w:sz w:val="24"/>
                <w:szCs w:val="24"/>
                <w:highlight w:val="none"/>
                <w:lang w:val="en-US" w:eastAsia="zh-CN"/>
              </w:rPr>
            </w:pPr>
            <w:r>
              <w:rPr>
                <w:rFonts w:hint="eastAsia" w:ascii="仿宋" w:hAnsi="仿宋" w:eastAsia="仿宋" w:cs="仿宋"/>
                <w:color w:val="000000"/>
                <w:kern w:val="2"/>
                <w:sz w:val="24"/>
                <w:szCs w:val="24"/>
                <w:highlight w:val="none"/>
                <w:lang w:val="en-US" w:eastAsia="zh-CN"/>
              </w:rPr>
              <w:t>序号</w:t>
            </w:r>
          </w:p>
        </w:tc>
        <w:tc>
          <w:tcPr>
            <w:tcW w:w="2360" w:type="pct"/>
            <w:noWrap w:val="0"/>
            <w:vAlign w:val="center"/>
          </w:tcPr>
          <w:p>
            <w:pPr>
              <w:pStyle w:val="7"/>
              <w:adjustRightInd w:val="0"/>
              <w:snapToGrid w:val="0"/>
              <w:jc w:val="center"/>
              <w:rPr>
                <w:rFonts w:hint="eastAsia" w:ascii="仿宋" w:hAnsi="仿宋" w:eastAsia="仿宋" w:cs="仿宋"/>
                <w:color w:val="000000"/>
                <w:kern w:val="2"/>
                <w:sz w:val="24"/>
                <w:szCs w:val="24"/>
                <w:highlight w:val="none"/>
                <w:lang w:val="en-US" w:eastAsia="zh-CN"/>
              </w:rPr>
            </w:pPr>
            <w:r>
              <w:rPr>
                <w:rFonts w:hint="eastAsia" w:ascii="仿宋" w:hAnsi="仿宋" w:eastAsia="仿宋" w:cs="仿宋"/>
                <w:color w:val="000000"/>
                <w:kern w:val="2"/>
                <w:sz w:val="24"/>
                <w:szCs w:val="24"/>
                <w:highlight w:val="none"/>
                <w:lang w:val="en-US" w:eastAsia="zh-CN"/>
              </w:rPr>
              <w:t>检验项目</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7" w:type="pct"/>
            <w:noWrap w:val="0"/>
            <w:vAlign w:val="center"/>
          </w:tcPr>
          <w:p>
            <w:pPr>
              <w:pStyle w:val="12"/>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36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i w:val="0"/>
                <w:color w:val="auto"/>
                <w:kern w:val="0"/>
                <w:sz w:val="24"/>
                <w:szCs w:val="24"/>
                <w:highlight w:val="none"/>
                <w:u w:val="none"/>
                <w:lang w:val="en-US" w:eastAsia="zh-CN" w:bidi="ar"/>
              </w:rPr>
              <w:t>感官质量</w:t>
            </w:r>
          </w:p>
        </w:tc>
        <w:tc>
          <w:tcPr>
            <w:tcW w:w="215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QB/T1002-2015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36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i w:val="0"/>
                <w:color w:val="auto"/>
                <w:kern w:val="0"/>
                <w:sz w:val="24"/>
                <w:szCs w:val="24"/>
                <w:highlight w:val="none"/>
                <w:u w:val="none"/>
                <w:lang w:val="en-US" w:eastAsia="zh-CN" w:bidi="ar"/>
              </w:rPr>
              <w:t>成鞋耐折性能</w:t>
            </w:r>
          </w:p>
        </w:tc>
        <w:tc>
          <w:tcPr>
            <w:tcW w:w="2153" w:type="pct"/>
            <w:noWrap w:val="0"/>
            <w:vAlign w:val="center"/>
          </w:tcPr>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3903.1-2017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236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i w:val="0"/>
                <w:color w:val="auto"/>
                <w:kern w:val="0"/>
                <w:sz w:val="24"/>
                <w:szCs w:val="24"/>
                <w:highlight w:val="none"/>
                <w:u w:val="none"/>
                <w:lang w:val="en-US" w:eastAsia="zh-CN" w:bidi="ar"/>
              </w:rPr>
              <w:t>外底耐磨性能</w:t>
            </w:r>
          </w:p>
        </w:tc>
        <w:tc>
          <w:tcPr>
            <w:tcW w:w="2153" w:type="pct"/>
            <w:noWrap w:val="0"/>
            <w:vAlign w:val="center"/>
          </w:tcPr>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3903.2-2017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236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i w:val="0"/>
                <w:color w:val="auto"/>
                <w:kern w:val="0"/>
                <w:sz w:val="24"/>
                <w:szCs w:val="24"/>
                <w:highlight w:val="none"/>
                <w:u w:val="none"/>
                <w:lang w:val="en-US" w:eastAsia="zh-CN" w:bidi="ar"/>
              </w:rPr>
              <w:t>成型底鞋跟硬度</w:t>
            </w:r>
          </w:p>
        </w:tc>
        <w:tc>
          <w:tcPr>
            <w:tcW w:w="2153" w:type="pct"/>
            <w:noWrap w:val="0"/>
            <w:vAlign w:val="center"/>
          </w:tcPr>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3903.4-2017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236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i w:val="0"/>
                <w:color w:val="auto"/>
                <w:kern w:val="0"/>
                <w:sz w:val="24"/>
                <w:szCs w:val="24"/>
                <w:highlight w:val="none"/>
                <w:u w:val="none"/>
                <w:lang w:val="en-US" w:eastAsia="zh-CN" w:bidi="ar"/>
              </w:rPr>
              <w:t>衬里和内垫材料的耐摩擦色牢度</w:t>
            </w:r>
          </w:p>
        </w:tc>
        <w:tc>
          <w:tcPr>
            <w:tcW w:w="2153" w:type="pct"/>
            <w:noWrap w:val="0"/>
            <w:vAlign w:val="center"/>
          </w:tcPr>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QB/T 2882-2007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236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i w:val="0"/>
                <w:color w:val="auto"/>
                <w:kern w:val="0"/>
                <w:sz w:val="24"/>
                <w:szCs w:val="24"/>
                <w:highlight w:val="none"/>
                <w:u w:val="none"/>
                <w:lang w:val="en-US" w:eastAsia="zh-CN" w:bidi="ar"/>
              </w:rPr>
              <w:t>游离或可部分水解的甲醛</w:t>
            </w:r>
          </w:p>
        </w:tc>
        <w:tc>
          <w:tcPr>
            <w:tcW w:w="215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2912.1-2009</w:t>
            </w:r>
          </w:p>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19941.2-2019</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判定规则</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3.1依据标准</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QB/T1002-2015 《皮鞋》</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246E5BF7"/>
    <w:rsid w:val="10602945"/>
    <w:rsid w:val="11BF7A14"/>
    <w:rsid w:val="14CD52E3"/>
    <w:rsid w:val="246E5BF7"/>
    <w:rsid w:val="29F611D8"/>
    <w:rsid w:val="2FE059A7"/>
    <w:rsid w:val="349B05D2"/>
    <w:rsid w:val="3D73184C"/>
    <w:rsid w:val="3D927079"/>
    <w:rsid w:val="408366A3"/>
    <w:rsid w:val="49B74219"/>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 w:type="paragraph" w:styleId="7">
    <w:name w:val="Plain Text"/>
    <w:basedOn w:val="1"/>
    <w:qFormat/>
    <w:uiPriority w:val="99"/>
    <w:rPr>
      <w:rFonts w:ascii="宋体" w:hAnsi="Courier New"/>
      <w:kern w:val="0"/>
      <w:sz w:val="20"/>
      <w:szCs w:val="20"/>
    </w:rPr>
  </w:style>
  <w:style w:type="paragraph" w:styleId="8">
    <w:name w:val="Normal (Web)"/>
    <w:basedOn w:val="1"/>
    <w:unhideWhenUsed/>
    <w:qFormat/>
    <w:uiPriority w:val="99"/>
    <w:pPr>
      <w:widowControl/>
      <w:tabs>
        <w:tab w:val="left" w:leader="dot" w:pos="7350"/>
      </w:tabs>
      <w:spacing w:before="100" w:beforeAutospacing="1" w:after="100" w:afterAutospacing="1"/>
      <w:jc w:val="left"/>
    </w:pPr>
    <w:rPr>
      <w:rFonts w:ascii="宋体" w:hAnsi="宋体" w:eastAsia="宋体" w:cs="宋体"/>
      <w:kern w:val="0"/>
      <w:sz w:val="24"/>
    </w:rPr>
  </w:style>
  <w:style w:type="paragraph" w:customStyle="1" w:styleId="11">
    <w:name w:val="列项·"/>
    <w:qFormat/>
    <w:uiPriority w:val="99"/>
    <w:pPr>
      <w:tabs>
        <w:tab w:val="left" w:pos="840"/>
      </w:tabs>
      <w:ind w:left="420"/>
      <w:jc w:val="both"/>
    </w:pPr>
    <w:rPr>
      <w:rFonts w:ascii="宋体" w:hAnsi="Times New Roman" w:eastAsia="宋体" w:cs="宋体"/>
      <w:lang w:val="en-US" w:eastAsia="zh-CN" w:bidi="ar-SA"/>
    </w:rPr>
  </w:style>
  <w:style w:type="paragraph" w:customStyle="1" w:styleId="12">
    <w:name w:val="二级无标题条"/>
    <w:basedOn w:val="1"/>
    <w:qFormat/>
    <w:uiPriority w:val="0"/>
    <w:rPr>
      <w:rFonts w:ascii="Times New Roman" w:hAnsi="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2022-12-09T08:37:00Z</dcterms:created>
  <dc:creator>天正检测</dc:creator>
  <cp:lastModifiedBy>天正检测</cp:lastModifiedBy>
  <dcterms:modified xsi:type="dcterms:W3CDTF">2022-12-09T08:38:20Z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F2A5CE5B40A24BDBAAD1B1CDE8A45696</vt:lpwstr>
  </property>
</Properties>
</file>