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餐具洗涤剂产品质量监督抽查实施细则</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 抽样方法</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以随机抽样的方式在被抽样生产者、销售者的待销产品中抽取。</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随机数一般可使用随机数表等方法产生。</w:t>
      </w:r>
    </w:p>
    <w:p>
      <w:pPr>
        <w:snapToGrid w:val="0"/>
        <w:spacing w:line="440" w:lineRule="exact"/>
        <w:ind w:firstLine="480" w:firstLineChars="20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表1 抽取样品数量</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2059"/>
        <w:gridCol w:w="2223"/>
        <w:gridCol w:w="2083"/>
        <w:gridCol w:w="2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2059"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产品种类</w:t>
            </w:r>
          </w:p>
        </w:tc>
        <w:tc>
          <w:tcPr>
            <w:tcW w:w="222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抽样数量（个）</w:t>
            </w:r>
          </w:p>
        </w:tc>
        <w:tc>
          <w:tcPr>
            <w:tcW w:w="208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检验样品数量（个）</w:t>
            </w:r>
          </w:p>
        </w:tc>
        <w:tc>
          <w:tcPr>
            <w:tcW w:w="2081"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备用样品数量（个）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2059" w:type="dxa"/>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包装规格＜2kg（L）</w:t>
            </w:r>
          </w:p>
        </w:tc>
        <w:tc>
          <w:tcPr>
            <w:tcW w:w="222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不少于2kg且不少于6个独立包装</w:t>
            </w:r>
          </w:p>
        </w:tc>
        <w:tc>
          <w:tcPr>
            <w:tcW w:w="208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2081"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2059" w:type="dxa"/>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包装规格≥2kg（L）且＜10kg（L）的独立包装</w:t>
            </w:r>
          </w:p>
        </w:tc>
        <w:tc>
          <w:tcPr>
            <w:tcW w:w="222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不少于3个独立包装</w:t>
            </w:r>
          </w:p>
        </w:tc>
        <w:tc>
          <w:tcPr>
            <w:tcW w:w="208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081"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2" w:type="dxa"/>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2059" w:type="dxa"/>
            <w:noWrap w:val="0"/>
            <w:vAlign w:val="center"/>
          </w:tcPr>
          <w:p>
            <w:pPr>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包装规格≥10kg的大包装</w:t>
            </w:r>
          </w:p>
        </w:tc>
        <w:tc>
          <w:tcPr>
            <w:tcW w:w="222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3个大包装，从每个大包装产品中分别分装成相应小包装样品，每一个小包装量不少于1kg（L）</w:t>
            </w:r>
          </w:p>
        </w:tc>
        <w:tc>
          <w:tcPr>
            <w:tcW w:w="2083"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081" w:type="dxa"/>
            <w:noWrap w:val="0"/>
            <w:vAlign w:val="center"/>
          </w:tcPr>
          <w:p>
            <w:pPr>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r>
    </w:tbl>
    <w:p>
      <w:pPr>
        <w:snapToGrid w:val="0"/>
        <w:spacing w:line="440" w:lineRule="exact"/>
        <w:ind w:firstLine="420"/>
        <w:rPr>
          <w:rFonts w:hint="eastAsia" w:ascii="仿宋" w:hAnsi="仿宋" w:eastAsia="仿宋" w:cs="仿宋"/>
          <w:color w:val="000000"/>
          <w:sz w:val="24"/>
          <w:szCs w:val="24"/>
          <w:highlight w:val="none"/>
        </w:rPr>
      </w:pP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 检验依据</w:t>
      </w:r>
    </w:p>
    <w:p>
      <w:pPr>
        <w:adjustRightInd w:val="0"/>
        <w:snapToGrid w:val="0"/>
        <w:spacing w:line="360" w:lineRule="auto"/>
        <w:ind w:firstLine="4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表2 手洗餐具用洗涤剂（含果蔬清洗剂）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4253"/>
        <w:gridCol w:w="4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654" w:type="dxa"/>
            <w:vMerge w:val="restart"/>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4253" w:type="dxa"/>
            <w:vMerge w:val="restart"/>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225" w:type="dxa"/>
            <w:vMerge w:val="restart"/>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654" w:type="dxa"/>
            <w:vMerge w:val="continue"/>
            <w:noWrap w:val="0"/>
            <w:vAlign w:val="center"/>
          </w:tcPr>
          <w:p>
            <w:pPr>
              <w:adjustRightInd w:val="0"/>
              <w:snapToGrid w:val="0"/>
              <w:jc w:val="center"/>
              <w:rPr>
                <w:rFonts w:hint="eastAsia" w:ascii="仿宋" w:hAnsi="仿宋" w:eastAsia="仿宋" w:cs="仿宋"/>
                <w:sz w:val="24"/>
                <w:szCs w:val="24"/>
                <w:highlight w:val="none"/>
              </w:rPr>
            </w:pPr>
          </w:p>
        </w:tc>
        <w:tc>
          <w:tcPr>
            <w:tcW w:w="4253" w:type="dxa"/>
            <w:vMerge w:val="continue"/>
            <w:noWrap w:val="0"/>
            <w:vAlign w:val="center"/>
          </w:tcPr>
          <w:p>
            <w:pPr>
              <w:adjustRightInd w:val="0"/>
              <w:snapToGrid w:val="0"/>
              <w:rPr>
                <w:rFonts w:hint="eastAsia" w:ascii="仿宋" w:hAnsi="仿宋" w:eastAsia="仿宋" w:cs="仿宋"/>
                <w:sz w:val="24"/>
                <w:szCs w:val="24"/>
                <w:highlight w:val="none"/>
              </w:rPr>
            </w:pPr>
          </w:p>
        </w:tc>
        <w:tc>
          <w:tcPr>
            <w:tcW w:w="4225" w:type="dxa"/>
            <w:vMerge w:val="continue"/>
            <w:noWrap w:val="0"/>
            <w:vAlign w:val="center"/>
          </w:tcPr>
          <w:p>
            <w:pPr>
              <w:adjustRightInd w:val="0"/>
              <w:snapToGrid w:val="0"/>
              <w:rPr>
                <w:rFonts w:hint="eastAsia" w:ascii="仿宋" w:hAnsi="仿宋" w:eastAsia="仿宋" w:cs="仿宋"/>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4"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425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总活性物含量</w:t>
            </w:r>
          </w:p>
        </w:tc>
        <w:tc>
          <w:tcPr>
            <w:tcW w:w="422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9985-2000 4.3</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13173-2008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4"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425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pH</w:t>
            </w:r>
          </w:p>
        </w:tc>
        <w:tc>
          <w:tcPr>
            <w:tcW w:w="422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6368-2008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4"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425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荧光增白剂</w:t>
            </w:r>
          </w:p>
        </w:tc>
        <w:tc>
          <w:tcPr>
            <w:tcW w:w="422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9985-2000</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4"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425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甲醇含量</w:t>
            </w:r>
          </w:p>
        </w:tc>
        <w:tc>
          <w:tcPr>
            <w:tcW w:w="422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4"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425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w:t>
            </w:r>
          </w:p>
        </w:tc>
        <w:tc>
          <w:tcPr>
            <w:tcW w:w="422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9985-2000</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附录E</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4"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425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砷（As）</w:t>
            </w:r>
          </w:p>
        </w:tc>
        <w:tc>
          <w:tcPr>
            <w:tcW w:w="422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4"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425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22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4"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425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菌落总数</w:t>
            </w:r>
          </w:p>
        </w:tc>
        <w:tc>
          <w:tcPr>
            <w:tcW w:w="422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54"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425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22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4789.3-2016</w:t>
            </w:r>
          </w:p>
        </w:tc>
      </w:tr>
    </w:tbl>
    <w:p>
      <w:pPr>
        <w:adjustRightInd w:val="0"/>
        <w:snapToGrid w:val="0"/>
        <w:spacing w:line="360" w:lineRule="auto"/>
        <w:rPr>
          <w:rFonts w:hint="eastAsia" w:ascii="仿宋" w:hAnsi="仿宋" w:eastAsia="仿宋" w:cs="仿宋"/>
          <w:sz w:val="24"/>
          <w:szCs w:val="24"/>
          <w:highlight w:val="none"/>
        </w:rPr>
      </w:pPr>
    </w:p>
    <w:p>
      <w:pPr>
        <w:adjustRightInd w:val="0"/>
        <w:snapToGrid w:val="0"/>
        <w:spacing w:line="360" w:lineRule="auto"/>
        <w:rPr>
          <w:rFonts w:hint="eastAsia" w:ascii="仿宋" w:hAnsi="仿宋" w:eastAsia="仿宋" w:cs="仿宋"/>
          <w:sz w:val="24"/>
          <w:szCs w:val="24"/>
          <w:highlight w:val="none"/>
        </w:rPr>
      </w:pPr>
    </w:p>
    <w:p>
      <w:pPr>
        <w:adjustRightInd w:val="0"/>
        <w:snapToGrid w:val="0"/>
        <w:spacing w:line="360" w:lineRule="auto"/>
        <w:ind w:firstLine="42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表3 </w:t>
      </w:r>
      <w:bookmarkStart w:id="0" w:name="_Hlk28345452"/>
      <w:r>
        <w:rPr>
          <w:rFonts w:hint="eastAsia" w:ascii="仿宋" w:hAnsi="仿宋" w:eastAsia="仿宋" w:cs="仿宋"/>
          <w:sz w:val="24"/>
          <w:szCs w:val="24"/>
          <w:highlight w:val="none"/>
        </w:rPr>
        <w:t>饮料用瓶清洗剂</w:t>
      </w:r>
      <w:bookmarkEnd w:id="0"/>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069"/>
        <w:gridCol w:w="4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09"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4069"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095"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40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总活性物含量</w:t>
            </w:r>
          </w:p>
        </w:tc>
        <w:tc>
          <w:tcPr>
            <w:tcW w:w="409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2967-2008</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40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荧光增白剂</w:t>
            </w:r>
          </w:p>
        </w:tc>
        <w:tc>
          <w:tcPr>
            <w:tcW w:w="409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9985-2000</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40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砷（As）</w:t>
            </w:r>
          </w:p>
        </w:tc>
        <w:tc>
          <w:tcPr>
            <w:tcW w:w="409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40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09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40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甲醇含量</w:t>
            </w:r>
          </w:p>
        </w:tc>
        <w:tc>
          <w:tcPr>
            <w:tcW w:w="409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40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甲醛含量</w:t>
            </w:r>
          </w:p>
        </w:tc>
        <w:tc>
          <w:tcPr>
            <w:tcW w:w="409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40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菌落总数</w:t>
            </w:r>
          </w:p>
        </w:tc>
        <w:tc>
          <w:tcPr>
            <w:tcW w:w="409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40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095"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4789.3-2016</w:t>
            </w:r>
          </w:p>
        </w:tc>
      </w:tr>
    </w:tbl>
    <w:p>
      <w:pPr>
        <w:adjustRightInd w:val="0"/>
        <w:snapToGrid w:val="0"/>
        <w:spacing w:line="360" w:lineRule="auto"/>
        <w:rPr>
          <w:rFonts w:hint="eastAsia" w:ascii="仿宋" w:hAnsi="仿宋" w:eastAsia="仿宋" w:cs="仿宋"/>
          <w:sz w:val="24"/>
          <w:szCs w:val="24"/>
          <w:highlight w:val="none"/>
        </w:rPr>
      </w:pP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表4 食品工具和工业设备用酸性清洗剂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4111"/>
        <w:gridCol w:w="4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blHeader/>
          <w:jc w:val="center"/>
        </w:trPr>
        <w:tc>
          <w:tcPr>
            <w:tcW w:w="669"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4111"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097"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总五氧化二磷（P</w:t>
            </w:r>
            <w:r>
              <w:rPr>
                <w:rFonts w:hint="eastAsia" w:ascii="仿宋" w:hAnsi="仿宋" w:eastAsia="仿宋" w:cs="仿宋"/>
                <w:sz w:val="24"/>
                <w:szCs w:val="24"/>
                <w:highlight w:val="none"/>
                <w:vertAlign w:val="subscript"/>
              </w:rPr>
              <w:t>2</w:t>
            </w:r>
            <w:r>
              <w:rPr>
                <w:rFonts w:hint="eastAsia" w:ascii="仿宋" w:hAnsi="仿宋" w:eastAsia="仿宋" w:cs="仿宋"/>
                <w:sz w:val="24"/>
                <w:szCs w:val="24"/>
                <w:highlight w:val="none"/>
              </w:rPr>
              <w:t>O</w:t>
            </w:r>
            <w:r>
              <w:rPr>
                <w:rFonts w:hint="eastAsia" w:ascii="仿宋" w:hAnsi="仿宋" w:eastAsia="仿宋" w:cs="仿宋"/>
                <w:sz w:val="24"/>
                <w:szCs w:val="24"/>
                <w:highlight w:val="none"/>
                <w:vertAlign w:val="subscript"/>
              </w:rPr>
              <w:t>5</w:t>
            </w:r>
            <w:r>
              <w:rPr>
                <w:rFonts w:hint="eastAsia" w:ascii="仿宋" w:hAnsi="仿宋" w:eastAsia="仿宋" w:cs="仿宋"/>
                <w:sz w:val="24"/>
                <w:szCs w:val="24"/>
                <w:highlight w:val="none"/>
              </w:rPr>
              <w:t>）含量</w:t>
            </w:r>
            <w:r>
              <w:rPr>
                <w:rFonts w:hint="eastAsia" w:ascii="仿宋" w:hAnsi="仿宋" w:eastAsia="仿宋" w:cs="仿宋"/>
                <w:sz w:val="24"/>
                <w:szCs w:val="24"/>
                <w:highlight w:val="none"/>
                <w:vertAlign w:val="superscript"/>
              </w:rPr>
              <w:t>a</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GB/T 13173-2008 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荧光增白剂</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9985-2000附录C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有效酸的质量分数（以H</w:t>
            </w:r>
            <w:r>
              <w:rPr>
                <w:rFonts w:hint="eastAsia" w:ascii="仿宋" w:hAnsi="仿宋" w:eastAsia="仿宋" w:cs="仿宋"/>
                <w:sz w:val="24"/>
                <w:szCs w:val="24"/>
                <w:highlight w:val="none"/>
                <w:vertAlign w:val="subscript"/>
              </w:rPr>
              <w:t>2</w:t>
            </w:r>
            <w:r>
              <w:rPr>
                <w:rFonts w:hint="eastAsia" w:ascii="仿宋" w:hAnsi="仿宋" w:eastAsia="仿宋" w:cs="仿宋"/>
                <w:sz w:val="24"/>
                <w:szCs w:val="24"/>
                <w:highlight w:val="none"/>
              </w:rPr>
              <w:t>SO</w:t>
            </w:r>
            <w:r>
              <w:rPr>
                <w:rFonts w:hint="eastAsia" w:ascii="仿宋" w:hAnsi="仿宋" w:eastAsia="仿宋" w:cs="仿宋"/>
                <w:sz w:val="24"/>
                <w:szCs w:val="24"/>
                <w:highlight w:val="none"/>
                <w:vertAlign w:val="subscript"/>
              </w:rPr>
              <w:t>4</w:t>
            </w:r>
            <w:r>
              <w:rPr>
                <w:rFonts w:hint="eastAsia" w:ascii="仿宋" w:hAnsi="仿宋" w:eastAsia="仿宋" w:cs="仿宋"/>
                <w:sz w:val="24"/>
                <w:szCs w:val="24"/>
                <w:highlight w:val="none"/>
              </w:rPr>
              <w:t>计）</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4313-2012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腐蚀率</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QB/T 4313-2012附录B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砷（As）</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甲醇含量</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甲醛含量</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菌落总数</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6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w:t>
            </w:r>
          </w:p>
        </w:tc>
        <w:tc>
          <w:tcPr>
            <w:tcW w:w="411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09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77" w:type="dxa"/>
            <w:gridSpan w:val="3"/>
            <w:noWrap w:val="0"/>
            <w:vAlign w:val="center"/>
          </w:tcPr>
          <w:p>
            <w:pPr>
              <w:adjustRightInd w:val="0"/>
              <w:snapToGrid w:val="0"/>
              <w:rPr>
                <w:rFonts w:hint="eastAsia" w:ascii="仿宋" w:hAnsi="仿宋" w:eastAsia="仿宋" w:cs="仿宋"/>
                <w:sz w:val="24"/>
                <w:szCs w:val="24"/>
                <w:highlight w:val="none"/>
              </w:rPr>
            </w:pPr>
            <w:r>
              <w:rPr>
                <w:rFonts w:hint="eastAsia" w:ascii="仿宋" w:hAnsi="仿宋" w:eastAsia="仿宋" w:cs="仿宋"/>
                <w:sz w:val="24"/>
                <w:szCs w:val="24"/>
                <w:highlight w:val="none"/>
              </w:rPr>
              <w:t>注：a 仅对标注无磷产品要求</w:t>
            </w:r>
          </w:p>
        </w:tc>
      </w:tr>
    </w:tbl>
    <w:p>
      <w:pPr>
        <w:snapToGrid w:val="0"/>
        <w:spacing w:line="440" w:lineRule="exact"/>
        <w:rPr>
          <w:rFonts w:hint="eastAsia" w:ascii="仿宋" w:hAnsi="仿宋" w:eastAsia="仿宋" w:cs="仿宋"/>
          <w:sz w:val="24"/>
          <w:szCs w:val="24"/>
          <w:highlight w:val="none"/>
        </w:rPr>
      </w:pPr>
    </w:p>
    <w:p>
      <w:pPr>
        <w:adjustRightInd w:val="0"/>
        <w:snapToGrid w:val="0"/>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表5 食品工具和工业设备用碱性清洗剂</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071"/>
        <w:gridCol w:w="4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09"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4071"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098"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4071" w:type="dxa"/>
            <w:noWrap w:val="0"/>
            <w:vAlign w:val="center"/>
          </w:tcPr>
          <w:p>
            <w:pPr>
              <w:adjustRightInd w:val="0"/>
              <w:snapToGrid w:val="0"/>
              <w:rPr>
                <w:rFonts w:hint="eastAsia" w:ascii="仿宋" w:hAnsi="仿宋" w:eastAsia="仿宋" w:cs="仿宋"/>
                <w:sz w:val="24"/>
                <w:szCs w:val="24"/>
                <w:highlight w:val="none"/>
              </w:rPr>
            </w:pPr>
            <w:r>
              <w:rPr>
                <w:rFonts w:hint="eastAsia" w:ascii="仿宋" w:hAnsi="仿宋" w:eastAsia="仿宋" w:cs="仿宋"/>
                <w:sz w:val="24"/>
                <w:szCs w:val="24"/>
                <w:highlight w:val="none"/>
              </w:rPr>
              <w:t>总五氧化二磷（P</w:t>
            </w:r>
            <w:r>
              <w:rPr>
                <w:rFonts w:hint="eastAsia" w:ascii="仿宋" w:hAnsi="仿宋" w:eastAsia="仿宋" w:cs="仿宋"/>
                <w:sz w:val="24"/>
                <w:szCs w:val="24"/>
                <w:highlight w:val="none"/>
                <w:vertAlign w:val="subscript"/>
              </w:rPr>
              <w:t>2</w:t>
            </w:r>
            <w:r>
              <w:rPr>
                <w:rFonts w:hint="eastAsia" w:ascii="仿宋" w:hAnsi="仿宋" w:eastAsia="仿宋" w:cs="仿宋"/>
                <w:sz w:val="24"/>
                <w:szCs w:val="24"/>
                <w:highlight w:val="none"/>
              </w:rPr>
              <w:t>O</w:t>
            </w:r>
            <w:r>
              <w:rPr>
                <w:rFonts w:hint="eastAsia" w:ascii="仿宋" w:hAnsi="仿宋" w:eastAsia="仿宋" w:cs="仿宋"/>
                <w:sz w:val="24"/>
                <w:szCs w:val="24"/>
                <w:highlight w:val="none"/>
                <w:vertAlign w:val="subscript"/>
              </w:rPr>
              <w:t>5</w:t>
            </w:r>
            <w:r>
              <w:rPr>
                <w:rFonts w:hint="eastAsia" w:ascii="仿宋" w:hAnsi="仿宋" w:eastAsia="仿宋" w:cs="仿宋"/>
                <w:sz w:val="24"/>
                <w:szCs w:val="24"/>
                <w:highlight w:val="none"/>
              </w:rPr>
              <w:t>）含量</w:t>
            </w:r>
            <w:r>
              <w:rPr>
                <w:rFonts w:hint="eastAsia" w:ascii="仿宋" w:hAnsi="仿宋" w:eastAsia="仿宋" w:cs="仿宋"/>
                <w:sz w:val="24"/>
                <w:szCs w:val="24"/>
                <w:highlight w:val="none"/>
                <w:vertAlign w:val="superscript"/>
              </w:rPr>
              <w:t>a</w:t>
            </w:r>
          </w:p>
        </w:tc>
        <w:tc>
          <w:tcPr>
            <w:tcW w:w="4098" w:type="dxa"/>
            <w:noWrap w:val="0"/>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 xml:space="preserve">GB/T 13173-2008 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407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荧光增白剂</w:t>
            </w:r>
          </w:p>
        </w:tc>
        <w:tc>
          <w:tcPr>
            <w:tcW w:w="4098" w:type="dxa"/>
            <w:noWrap w:val="0"/>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GB/T 9985-2000附录C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4071" w:type="dxa"/>
            <w:noWrap w:val="0"/>
            <w:vAlign w:val="center"/>
          </w:tcPr>
          <w:p>
            <w:pPr>
              <w:adjustRightInd w:val="0"/>
              <w:snapToGrid w:val="0"/>
              <w:rPr>
                <w:rFonts w:hint="eastAsia" w:ascii="仿宋" w:hAnsi="仿宋" w:eastAsia="仿宋" w:cs="仿宋"/>
                <w:sz w:val="24"/>
                <w:szCs w:val="24"/>
                <w:highlight w:val="none"/>
              </w:rPr>
            </w:pPr>
            <w:r>
              <w:rPr>
                <w:rFonts w:hint="eastAsia" w:ascii="仿宋" w:hAnsi="仿宋" w:eastAsia="仿宋" w:cs="仿宋"/>
                <w:sz w:val="24"/>
                <w:szCs w:val="24"/>
                <w:highlight w:val="none"/>
              </w:rPr>
              <w:t>总碱的质量分数（以NaOH计）</w:t>
            </w:r>
          </w:p>
        </w:tc>
        <w:tc>
          <w:tcPr>
            <w:tcW w:w="4098" w:type="dxa"/>
            <w:noWrap w:val="0"/>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 xml:space="preserve">QB/T 4314-2012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407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砷（As）</w:t>
            </w:r>
          </w:p>
        </w:tc>
        <w:tc>
          <w:tcPr>
            <w:tcW w:w="4098" w:type="dxa"/>
            <w:noWrap w:val="0"/>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GB/T 30797-2014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407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098" w:type="dxa"/>
            <w:noWrap w:val="0"/>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GB/T 30799-2014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407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甲醇含量</w:t>
            </w:r>
          </w:p>
        </w:tc>
        <w:tc>
          <w:tcPr>
            <w:tcW w:w="4098" w:type="dxa"/>
            <w:noWrap w:val="0"/>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GB/T 30795-2014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7</w:t>
            </w:r>
          </w:p>
        </w:tc>
        <w:tc>
          <w:tcPr>
            <w:tcW w:w="407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甲醛含量</w:t>
            </w:r>
          </w:p>
        </w:tc>
        <w:tc>
          <w:tcPr>
            <w:tcW w:w="4098" w:type="dxa"/>
            <w:noWrap w:val="0"/>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GB/T 30796-2014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8</w:t>
            </w:r>
          </w:p>
        </w:tc>
        <w:tc>
          <w:tcPr>
            <w:tcW w:w="407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菌落总数</w:t>
            </w:r>
          </w:p>
        </w:tc>
        <w:tc>
          <w:tcPr>
            <w:tcW w:w="4098" w:type="dxa"/>
            <w:noWrap w:val="0"/>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GB 4789.2-2016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p>
        </w:tc>
        <w:tc>
          <w:tcPr>
            <w:tcW w:w="4071"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098" w:type="dxa"/>
            <w:noWrap w:val="0"/>
            <w:vAlign w:val="center"/>
          </w:tcPr>
          <w:p>
            <w:pPr>
              <w:adjustRightInd w:val="0"/>
              <w:snapToGrid w:val="0"/>
              <w:jc w:val="center"/>
              <w:rPr>
                <w:rFonts w:hint="eastAsia" w:ascii="仿宋" w:hAnsi="仿宋" w:eastAsia="仿宋" w:cs="仿宋"/>
                <w:kern w:val="0"/>
                <w:sz w:val="24"/>
                <w:szCs w:val="24"/>
                <w:highlight w:val="none"/>
              </w:rPr>
            </w:pPr>
            <w:r>
              <w:rPr>
                <w:rFonts w:hint="eastAsia" w:ascii="仿宋" w:hAnsi="仿宋" w:eastAsia="仿宋" w:cs="仿宋"/>
                <w:sz w:val="24"/>
                <w:szCs w:val="24"/>
                <w:highlight w:val="none"/>
              </w:rPr>
              <w:t>GB 4789.3-2016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78" w:type="dxa"/>
            <w:gridSpan w:val="3"/>
            <w:noWrap w:val="0"/>
            <w:vAlign w:val="center"/>
          </w:tcPr>
          <w:p>
            <w:pPr>
              <w:adjustRightInd w:val="0"/>
              <w:snapToGrid w:val="0"/>
              <w:rPr>
                <w:rFonts w:hint="eastAsia" w:ascii="仿宋" w:hAnsi="仿宋" w:eastAsia="仿宋" w:cs="仿宋"/>
                <w:sz w:val="24"/>
                <w:szCs w:val="24"/>
                <w:highlight w:val="none"/>
              </w:rPr>
            </w:pPr>
            <w:r>
              <w:rPr>
                <w:rFonts w:hint="eastAsia" w:ascii="仿宋" w:hAnsi="仿宋" w:eastAsia="仿宋" w:cs="仿宋"/>
                <w:sz w:val="24"/>
                <w:szCs w:val="24"/>
                <w:highlight w:val="none"/>
              </w:rPr>
              <w:t>注：a 仅对标注无磷产品要求</w:t>
            </w:r>
          </w:p>
        </w:tc>
      </w:tr>
    </w:tbl>
    <w:p>
      <w:pPr>
        <w:snapToGrid w:val="0"/>
        <w:spacing w:line="440" w:lineRule="exact"/>
        <w:rPr>
          <w:rFonts w:hint="eastAsia" w:ascii="仿宋" w:hAnsi="仿宋" w:eastAsia="仿宋" w:cs="仿宋"/>
          <w:sz w:val="24"/>
          <w:szCs w:val="24"/>
          <w:highlight w:val="none"/>
        </w:rPr>
      </w:pPr>
    </w:p>
    <w:p>
      <w:pPr>
        <w:adjustRightInd w:val="0"/>
        <w:snapToGrid w:val="0"/>
        <w:spacing w:line="360" w:lineRule="auto"/>
        <w:ind w:firstLine="120" w:firstLineChars="5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表6 </w:t>
      </w:r>
      <w:bookmarkStart w:id="1" w:name="_Hlk28345520"/>
      <w:r>
        <w:rPr>
          <w:rFonts w:hint="eastAsia" w:ascii="仿宋" w:hAnsi="仿宋" w:eastAsia="仿宋" w:cs="仿宋"/>
          <w:sz w:val="24"/>
          <w:szCs w:val="24"/>
          <w:highlight w:val="none"/>
        </w:rPr>
        <w:t>机洗餐具用洗涤剂产品及食品工业用（含复合主剂）洗涤剂</w:t>
      </w:r>
      <w:bookmarkEnd w:id="1"/>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067"/>
        <w:gridCol w:w="4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709"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4067"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检验项目</w:t>
            </w:r>
          </w:p>
        </w:tc>
        <w:tc>
          <w:tcPr>
            <w:tcW w:w="4093" w:type="dxa"/>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406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砷（As）</w:t>
            </w:r>
          </w:p>
        </w:tc>
        <w:tc>
          <w:tcPr>
            <w:tcW w:w="409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30797-2014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406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重金属（以Pb计）</w:t>
            </w:r>
          </w:p>
        </w:tc>
        <w:tc>
          <w:tcPr>
            <w:tcW w:w="409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406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甲醇含量</w:t>
            </w:r>
          </w:p>
        </w:tc>
        <w:tc>
          <w:tcPr>
            <w:tcW w:w="409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406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甲醛含量</w:t>
            </w:r>
          </w:p>
        </w:tc>
        <w:tc>
          <w:tcPr>
            <w:tcW w:w="409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30796-2014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406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菌落总数</w:t>
            </w:r>
          </w:p>
        </w:tc>
        <w:tc>
          <w:tcPr>
            <w:tcW w:w="409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6</w:t>
            </w:r>
          </w:p>
        </w:tc>
        <w:tc>
          <w:tcPr>
            <w:tcW w:w="4067"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大肠菌群</w:t>
            </w:r>
          </w:p>
        </w:tc>
        <w:tc>
          <w:tcPr>
            <w:tcW w:w="4093" w:type="dxa"/>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 4789.3-2016</w:t>
            </w:r>
          </w:p>
        </w:tc>
      </w:tr>
    </w:tbl>
    <w:p>
      <w:pPr>
        <w:adjustRightInd w:val="0"/>
        <w:snapToGrid w:val="0"/>
        <w:spacing w:line="440" w:lineRule="exact"/>
        <w:ind w:firstLine="480" w:firstLineChars="200"/>
        <w:rPr>
          <w:rFonts w:hint="eastAsia" w:ascii="仿宋" w:hAnsi="仿宋" w:eastAsia="仿宋" w:cs="仿宋"/>
          <w:color w:val="000000"/>
          <w:sz w:val="24"/>
          <w:szCs w:val="24"/>
          <w:highlight w:val="none"/>
        </w:rPr>
      </w:pPr>
      <w:bookmarkStart w:id="2" w:name="_Hlk40347690"/>
      <w:r>
        <w:rPr>
          <w:rFonts w:hint="eastAsia" w:ascii="仿宋" w:hAnsi="仿宋" w:eastAsia="仿宋" w:cs="仿宋"/>
          <w:color w:val="000000"/>
          <w:sz w:val="24"/>
          <w:szCs w:val="24"/>
          <w:highlight w:val="none"/>
        </w:rPr>
        <w:t>执行企业标准、团体标准、地方标准的产品，检验项目参照上述内容执行。</w:t>
      </w:r>
      <w:bookmarkEnd w:id="2"/>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snapToGrid w:val="0"/>
        <w:spacing w:line="440" w:lineRule="exact"/>
        <w:ind w:firstLine="410" w:firstLineChars="171"/>
        <w:rPr>
          <w:rFonts w:hint="eastAsia" w:ascii="仿宋" w:hAnsi="仿宋" w:eastAsia="仿宋" w:cs="仿宋"/>
          <w:color w:val="000000"/>
          <w:sz w:val="24"/>
          <w:szCs w:val="24"/>
          <w:highlight w:val="none"/>
        </w:rPr>
      </w:pPr>
    </w:p>
    <w:p>
      <w:pPr>
        <w:spacing w:line="360" w:lineRule="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3.1依据标准</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14930.1-2015 食品安全国家标准 洗涤剂</w:t>
      </w:r>
    </w:p>
    <w:p>
      <w:pPr>
        <w:tabs>
          <w:tab w:val="left" w:pos="3812"/>
        </w:tabs>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9985-2000 手洗餐具用洗涤剂</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24691-2009 果蔬清洗剂</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2967-2008 饮料用瓶清洗剂</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4313-2012 食品工具和工业设备用酸性清洗剂</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QB/T 4314-2012 食品工具和工业设备用碱性清洗剂</w:t>
      </w:r>
    </w:p>
    <w:p>
      <w:pPr>
        <w:snapToGrid w:val="0"/>
        <w:spacing w:line="440" w:lineRule="exact"/>
        <w:ind w:firstLine="410" w:firstLineChars="171"/>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3.2判定原则</w:t>
      </w:r>
    </w:p>
    <w:p>
      <w:pPr>
        <w:snapToGrid w:val="0"/>
        <w:spacing w:line="440" w:lineRule="exact"/>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经检验，检验项目全部合格，判定为被抽查产品合格；检验项目中任一项或一项以上不合格，判定为被抽查产品不合格。</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snapToGrid w:val="0"/>
        <w:spacing w:line="440" w:lineRule="exact"/>
        <w:ind w:firstLine="477" w:firstLineChars="19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pPr>
        <w:snapToGrid w:val="0"/>
        <w:spacing w:line="440" w:lineRule="exact"/>
        <w:ind w:firstLine="477" w:firstLineChars="199"/>
        <w:rPr>
          <w:rFonts w:hint="eastAsia" w:ascii="仿宋" w:hAnsi="仿宋" w:eastAsia="仿宋" w:cs="仿宋"/>
          <w:sz w:val="24"/>
          <w:szCs w:val="24"/>
          <w:highlight w:val="none"/>
        </w:rPr>
      </w:pPr>
      <w:r>
        <w:rPr>
          <w:rFonts w:hint="eastAsia" w:ascii="仿宋" w:hAnsi="仿宋" w:eastAsia="仿宋" w:cs="仿宋"/>
          <w:color w:val="000000"/>
          <w:sz w:val="24"/>
          <w:szCs w:val="24"/>
          <w:highlight w:val="none"/>
        </w:rPr>
        <w:t>依据卫健委“卫监督发[2005]515号”《健康相关产品国家卫生监督抽检规定》第十九条“产品微生物指标超标的不予复检”及GB 4789.1-2016 《食品安全国家标准 食品微生物学检验 总则》第7.3条“检验结果报告后，剩余样品和同批产品不进行微生物项目的复检”的规定，微生物项目（菌落总数、大肠菌群）不合格不复检。</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79F455AA"/>
    <w:rsid w:val="10602945"/>
    <w:rsid w:val="11BF7A14"/>
    <w:rsid w:val="14CD52E3"/>
    <w:rsid w:val="29F611D8"/>
    <w:rsid w:val="2FE059A7"/>
    <w:rsid w:val="349B05D2"/>
    <w:rsid w:val="3D73184C"/>
    <w:rsid w:val="3D927079"/>
    <w:rsid w:val="408366A3"/>
    <w:rsid w:val="49B74219"/>
    <w:rsid w:val="5945183F"/>
    <w:rsid w:val="5EBB78A0"/>
    <w:rsid w:val="62565992"/>
    <w:rsid w:val="74AE0A1F"/>
    <w:rsid w:val="79F455AA"/>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2022-12-09T08:42:00Z</dcterms:created>
  <dc:creator>天正检测</dc:creator>
  <cp:lastModifiedBy>天正检测</cp:lastModifiedBy>
  <dcterms:modified xsi:type="dcterms:W3CDTF">2022-12-09T08:42:47Z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99D0E29E34B34361A966874169027ABF</vt:lpwstr>
  </property>
</Properties>
</file>