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0"/>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尿素水溶液质量焦作市监督抽查实施细则</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left="0" w:right="0" w:firstLine="0"/>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（2024年版）</w:t>
      </w:r>
    </w:p>
    <w:p>
      <w:pPr>
        <w:keepNext w:val="0"/>
        <w:keepLines w:val="0"/>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本细则适用焦作市市场监督管理局组织的尿素水溶液</w:t>
      </w:r>
      <w:r>
        <w:rPr>
          <w:rFonts w:hint="eastAsia" w:ascii="宋体" w:hAnsi="宋体" w:eastAsia="宋体" w:cs="宋体"/>
          <w:sz w:val="21"/>
          <w:szCs w:val="21"/>
        </w:rPr>
        <w:t>（柴油发动机氮氧化物还原剂 尿素水溶液（AUS32））</w:t>
      </w:r>
      <w:r>
        <w:rPr>
          <w:rFonts w:hint="eastAsia" w:ascii="宋体" w:hAnsi="宋体" w:eastAsia="宋体" w:cs="宋体"/>
          <w:sz w:val="21"/>
          <w:szCs w:val="21"/>
          <w:lang w:val="en-US" w:eastAsia="zh-CN"/>
        </w:rPr>
        <w:t>产品质量监督抽查。本细则规定了此产品的抽样方法、检验依据、检验项目、检验方法、判定原则等。</w:t>
      </w:r>
    </w:p>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 xml:space="preserve">1.抽样方法 </w:t>
      </w:r>
    </w:p>
    <w:p>
      <w:pPr>
        <w:keepNext w:val="0"/>
        <w:keepLines w:val="0"/>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以随机抽样方式在被抽样生产者、销售者的待销产品中抽取。随机数一般可使用随机数表、随机数骰子或扑克牌等方法产生。 </w:t>
      </w:r>
    </w:p>
    <w:tbl>
      <w:tblPr>
        <w:tblStyle w:val="7"/>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1575"/>
        <w:gridCol w:w="3287"/>
        <w:gridCol w:w="1738"/>
        <w:gridCol w:w="1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76"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b/>
                <w:bCs/>
                <w:sz w:val="21"/>
                <w:szCs w:val="21"/>
              </w:rPr>
            </w:pPr>
            <w:bookmarkStart w:id="0" w:name="_GoBack"/>
            <w:bookmarkEnd w:id="0"/>
            <w:r>
              <w:rPr>
                <w:b/>
                <w:bCs/>
                <w:sz w:val="21"/>
                <w:szCs w:val="21"/>
                <w:lang w:val="en-US" w:eastAsia="zh-CN"/>
              </w:rPr>
              <w:t>序号</w:t>
            </w:r>
          </w:p>
        </w:tc>
        <w:tc>
          <w:tcPr>
            <w:tcW w:w="1575"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b/>
                <w:bCs/>
                <w:sz w:val="21"/>
                <w:szCs w:val="21"/>
              </w:rPr>
            </w:pPr>
            <w:r>
              <w:rPr>
                <w:b/>
                <w:bCs/>
                <w:sz w:val="21"/>
                <w:szCs w:val="21"/>
                <w:lang w:val="en-US" w:eastAsia="zh-CN"/>
              </w:rPr>
              <w:t>产品种类</w:t>
            </w:r>
          </w:p>
        </w:tc>
        <w:tc>
          <w:tcPr>
            <w:tcW w:w="3287"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b/>
                <w:bCs/>
                <w:sz w:val="21"/>
                <w:szCs w:val="21"/>
              </w:rPr>
            </w:pPr>
            <w:r>
              <w:rPr>
                <w:b/>
                <w:bCs/>
                <w:sz w:val="21"/>
                <w:szCs w:val="21"/>
                <w:lang w:val="en-US" w:eastAsia="zh-CN"/>
              </w:rPr>
              <w:t>抽样数量</w:t>
            </w:r>
          </w:p>
        </w:tc>
        <w:tc>
          <w:tcPr>
            <w:tcW w:w="1738"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b/>
                <w:bCs/>
                <w:sz w:val="21"/>
                <w:szCs w:val="21"/>
              </w:rPr>
            </w:pPr>
            <w:r>
              <w:rPr>
                <w:b/>
                <w:bCs/>
                <w:sz w:val="21"/>
                <w:szCs w:val="21"/>
                <w:lang w:val="en-US" w:eastAsia="zh-CN"/>
              </w:rPr>
              <w:t>检验样品数量</w:t>
            </w:r>
          </w:p>
        </w:tc>
        <w:tc>
          <w:tcPr>
            <w:tcW w:w="1912"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b/>
                <w:bCs/>
                <w:sz w:val="21"/>
                <w:szCs w:val="21"/>
              </w:rPr>
            </w:pPr>
            <w:r>
              <w:rPr>
                <w:b/>
                <w:bCs/>
                <w:sz w:val="21"/>
                <w:szCs w:val="21"/>
                <w:lang w:val="en-US" w:eastAsia="zh-CN"/>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776" w:type="dxa"/>
            <w:vAlign w:val="center"/>
          </w:tcPr>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sz w:val="21"/>
                <w:szCs w:val="21"/>
                <w:lang w:val="en-US" w:eastAsia="zh-CN"/>
              </w:rPr>
            </w:pPr>
            <w:r>
              <w:rPr>
                <w:rFonts w:hint="eastAsia" w:ascii="宋体" w:hAnsi="宋体" w:eastAsia="宋体" w:cs="宋体"/>
                <w:color w:val="000000"/>
                <w:sz w:val="21"/>
                <w:szCs w:val="21"/>
              </w:rPr>
              <w:t>1</w:t>
            </w:r>
          </w:p>
        </w:tc>
        <w:tc>
          <w:tcPr>
            <w:tcW w:w="1575" w:type="dxa"/>
            <w:vAlign w:val="center"/>
          </w:tcPr>
          <w:p>
            <w:pPr>
              <w:keepNext w:val="0"/>
              <w:keepLines w:val="0"/>
              <w:pageBreakBefore w:val="0"/>
              <w:widowControl w:val="0"/>
              <w:kinsoku/>
              <w:wordWrap/>
              <w:overflowPunct/>
              <w:topLinePunct w:val="0"/>
              <w:autoSpaceDE/>
              <w:autoSpaceDN/>
              <w:bidi w:val="0"/>
              <w:adjustRightInd w:val="0"/>
              <w:snapToGrid w:val="0"/>
              <w:spacing w:line="440" w:lineRule="exact"/>
              <w:ind w:left="-105" w:leftChars="-50" w:right="-105" w:rightChars="-50"/>
              <w:jc w:val="left"/>
              <w:textAlignment w:val="auto"/>
              <w:rPr>
                <w:rFonts w:hint="eastAsia" w:ascii="宋体" w:hAnsi="宋体" w:eastAsia="宋体" w:cs="宋体"/>
                <w:sz w:val="21"/>
                <w:szCs w:val="21"/>
                <w:lang w:val="en-US" w:eastAsia="zh-CN"/>
              </w:rPr>
            </w:pPr>
            <w:r>
              <w:rPr>
                <w:rFonts w:hint="eastAsia" w:ascii="宋体" w:hAnsi="宋体" w:eastAsia="宋体" w:cs="宋体"/>
                <w:color w:val="000000"/>
                <w:sz w:val="21"/>
                <w:szCs w:val="21"/>
              </w:rPr>
              <w:t>尿素水溶液</w:t>
            </w:r>
          </w:p>
        </w:tc>
        <w:tc>
          <w:tcPr>
            <w:tcW w:w="3287" w:type="dxa"/>
            <w:vAlign w:val="center"/>
          </w:tcPr>
          <w:p>
            <w:pPr>
              <w:keepNext w:val="0"/>
              <w:keepLines w:val="0"/>
              <w:pageBreakBefore w:val="0"/>
              <w:widowControl w:val="0"/>
              <w:kinsoku/>
              <w:wordWrap/>
              <w:overflowPunct/>
              <w:topLinePunct w:val="0"/>
              <w:autoSpaceDE/>
              <w:autoSpaceDN/>
              <w:bidi w:val="0"/>
              <w:adjustRightInd w:val="0"/>
              <w:snapToGrid w:val="0"/>
              <w:spacing w:line="440" w:lineRule="exact"/>
              <w:ind w:left="-105" w:leftChars="-50" w:right="-105" w:rightChars="-50"/>
              <w:jc w:val="left"/>
              <w:textAlignment w:val="auto"/>
              <w:rPr>
                <w:rFonts w:hint="eastAsia" w:ascii="宋体" w:hAnsi="宋体" w:eastAsia="宋体" w:cs="宋体"/>
                <w:sz w:val="21"/>
                <w:szCs w:val="21"/>
                <w:lang w:val="en-US" w:eastAsia="zh-CN"/>
              </w:rPr>
            </w:pPr>
            <w:r>
              <w:rPr>
                <w:rFonts w:hint="eastAsia" w:ascii="宋体" w:hAnsi="宋体" w:eastAsia="宋体" w:cs="宋体"/>
                <w:color w:val="000000"/>
                <w:sz w:val="21"/>
                <w:szCs w:val="21"/>
              </w:rPr>
              <w:t>不少于2L独立包装样品2份</w:t>
            </w:r>
          </w:p>
        </w:tc>
        <w:tc>
          <w:tcPr>
            <w:tcW w:w="1738" w:type="dxa"/>
            <w:vAlign w:val="center"/>
          </w:tcPr>
          <w:p>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sz w:val="21"/>
                <w:szCs w:val="21"/>
                <w:lang w:val="en-US" w:eastAsia="zh-CN"/>
              </w:rPr>
            </w:pPr>
            <w:r>
              <w:rPr>
                <w:rFonts w:hint="eastAsia" w:ascii="宋体" w:hAnsi="宋体" w:eastAsia="宋体" w:cs="宋体"/>
                <w:color w:val="000000"/>
                <w:sz w:val="21"/>
                <w:szCs w:val="21"/>
              </w:rPr>
              <w:t>1</w:t>
            </w:r>
          </w:p>
        </w:tc>
        <w:tc>
          <w:tcPr>
            <w:tcW w:w="1912" w:type="dxa"/>
            <w:vAlign w:val="center"/>
          </w:tcPr>
          <w:p>
            <w:pPr>
              <w:keepNext w:val="0"/>
              <w:keepLines w:val="0"/>
              <w:pageBreakBefore w:val="0"/>
              <w:widowControl w:val="0"/>
              <w:kinsoku/>
              <w:wordWrap/>
              <w:overflowPunct/>
              <w:topLinePunct w:val="0"/>
              <w:autoSpaceDE/>
              <w:autoSpaceDN/>
              <w:bidi w:val="0"/>
              <w:adjustRightInd w:val="0"/>
              <w:snapToGrid w:val="0"/>
              <w:spacing w:line="440" w:lineRule="exact"/>
              <w:ind w:left="-105" w:leftChars="-50" w:right="-105" w:rightChars="-5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r>
    </w:tbl>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bCs/>
          <w:sz w:val="21"/>
          <w:szCs w:val="21"/>
          <w:lang w:val="en-US" w:eastAsia="zh-CN"/>
        </w:rPr>
      </w:pPr>
    </w:p>
    <w:p>
      <w:pPr>
        <w:keepNext w:val="0"/>
        <w:keepLines w:val="0"/>
        <w:pageBreakBefore w:val="0"/>
        <w:widowControl w:val="0"/>
        <w:kinsoku/>
        <w:wordWrap/>
        <w:overflowPunct/>
        <w:topLinePunct w:val="0"/>
        <w:autoSpaceDE/>
        <w:autoSpaceDN/>
        <w:bidi w:val="0"/>
        <w:spacing w:line="440" w:lineRule="exact"/>
        <w:jc w:val="left"/>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2.检验依据</w:t>
      </w:r>
      <w:r>
        <w:rPr>
          <w:rFonts w:hint="eastAsia" w:ascii="宋体" w:hAnsi="宋体" w:eastAsia="宋体" w:cs="宋体"/>
          <w:sz w:val="21"/>
          <w:szCs w:val="21"/>
          <w:lang w:val="en-US" w:eastAsia="zh-CN"/>
        </w:rPr>
        <w:t xml:space="preserve">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4350"/>
        <w:gridCol w:w="4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b/>
                <w:bCs/>
                <w:sz w:val="21"/>
                <w:szCs w:val="21"/>
              </w:rPr>
            </w:pPr>
            <w:r>
              <w:rPr>
                <w:b/>
                <w:bCs/>
                <w:sz w:val="21"/>
                <w:szCs w:val="21"/>
                <w:lang w:val="en-US" w:eastAsia="zh-CN"/>
              </w:rPr>
              <w:t>序号</w:t>
            </w:r>
          </w:p>
        </w:tc>
        <w:tc>
          <w:tcPr>
            <w:tcW w:w="4350"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b/>
                <w:bCs/>
                <w:sz w:val="21"/>
                <w:szCs w:val="21"/>
              </w:rPr>
            </w:pPr>
            <w:r>
              <w:rPr>
                <w:b/>
                <w:bCs/>
                <w:sz w:val="21"/>
                <w:szCs w:val="21"/>
                <w:lang w:val="en-US" w:eastAsia="zh-CN"/>
              </w:rPr>
              <w:t>检验项目</w:t>
            </w:r>
          </w:p>
        </w:tc>
        <w:tc>
          <w:tcPr>
            <w:tcW w:w="4125"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b/>
                <w:bCs/>
                <w:sz w:val="21"/>
                <w:szCs w:val="21"/>
              </w:rPr>
            </w:pPr>
            <w:r>
              <w:rPr>
                <w:b/>
                <w:bCs/>
                <w:sz w:val="21"/>
                <w:szCs w:val="21"/>
                <w:lang w:val="en-US" w:eastAsia="zh-C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尿素含量</w:t>
            </w:r>
          </w:p>
        </w:tc>
        <w:tc>
          <w:tcPr>
            <w:tcW w:w="412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color w:val="000000"/>
                <w:sz w:val="21"/>
                <w:szCs w:val="21"/>
              </w:rPr>
              <w:t>GB</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29518-2013附录A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碱度</w:t>
            </w:r>
          </w:p>
        </w:tc>
        <w:tc>
          <w:tcPr>
            <w:tcW w:w="4125"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color w:val="000000"/>
                <w:sz w:val="21"/>
                <w:szCs w:val="21"/>
              </w:rPr>
              <w:t>GB</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29518-2013附录B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缩二脲</w:t>
            </w:r>
          </w:p>
        </w:tc>
        <w:tc>
          <w:tcPr>
            <w:tcW w:w="4125" w:type="dxa"/>
            <w:vAlign w:val="center"/>
          </w:tcPr>
          <w:p>
            <w:pPr>
              <w:keepNext w:val="0"/>
              <w:keepLines w:val="0"/>
              <w:pageBreakBefore w:val="0"/>
              <w:widowControl w:val="0"/>
              <w:kinsoku/>
              <w:wordWrap/>
              <w:overflowPunct/>
              <w:topLinePunct w:val="0"/>
              <w:autoSpaceDE/>
              <w:autoSpaceDN/>
              <w:bidi w:val="0"/>
              <w:adjustRightInd w:val="0"/>
              <w:snapToGrid w:val="0"/>
              <w:spacing w:line="440" w:lineRule="exact"/>
              <w:ind w:right="-105" w:rightChars="-50"/>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G</w:t>
            </w:r>
            <w:r>
              <w:rPr>
                <w:rFonts w:hint="eastAsia" w:ascii="宋体" w:hAnsi="宋体" w:eastAsia="宋体" w:cs="宋体"/>
                <w:color w:val="000000"/>
                <w:sz w:val="21"/>
                <w:szCs w:val="21"/>
              </w:rPr>
              <w:t>B</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29518-2013附录C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醛类</w:t>
            </w:r>
          </w:p>
        </w:tc>
        <w:tc>
          <w:tcPr>
            <w:tcW w:w="4125" w:type="dxa"/>
            <w:vAlign w:val="center"/>
          </w:tcPr>
          <w:p>
            <w:pPr>
              <w:keepNext w:val="0"/>
              <w:keepLines w:val="0"/>
              <w:pageBreakBefore w:val="0"/>
              <w:widowControl w:val="0"/>
              <w:kinsoku/>
              <w:wordWrap/>
              <w:overflowPunct/>
              <w:topLinePunct w:val="0"/>
              <w:autoSpaceDE/>
              <w:autoSpaceDN/>
              <w:bidi w:val="0"/>
              <w:snapToGrid w:val="0"/>
              <w:spacing w:line="440" w:lineRule="exact"/>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GB</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29518-2013附录D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13" w:type="dxa"/>
            <w:vAlign w:val="center"/>
          </w:tcPr>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w:t>
            </w:r>
          </w:p>
        </w:tc>
        <w:tc>
          <w:tcPr>
            <w:tcW w:w="4350" w:type="dxa"/>
            <w:vAlign w:val="center"/>
          </w:tcPr>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不溶物</w:t>
            </w:r>
          </w:p>
        </w:tc>
        <w:tc>
          <w:tcPr>
            <w:tcW w:w="4125" w:type="dxa"/>
            <w:vAlign w:val="center"/>
          </w:tcPr>
          <w:p>
            <w:pPr>
              <w:keepNext w:val="0"/>
              <w:keepLines w:val="0"/>
              <w:pageBreakBefore w:val="0"/>
              <w:widowControl w:val="0"/>
              <w:kinsoku/>
              <w:wordWrap/>
              <w:overflowPunct/>
              <w:topLinePunct w:val="0"/>
              <w:autoSpaceDE/>
              <w:autoSpaceDN/>
              <w:bidi w:val="0"/>
              <w:snapToGrid w:val="0"/>
              <w:spacing w:line="440" w:lineRule="exact"/>
              <w:jc w:val="left"/>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GB</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29518-2013附录E</w:t>
            </w:r>
          </w:p>
        </w:tc>
      </w:tr>
    </w:tbl>
    <w:p>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snapToGrid w:val="0"/>
        <w:spacing w:line="440" w:lineRule="exact"/>
        <w:ind w:firstLine="417" w:firstLineChars="199"/>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bCs/>
          <w:sz w:val="21"/>
          <w:szCs w:val="21"/>
          <w:lang w:val="en-US" w:eastAsia="zh-CN"/>
        </w:rPr>
      </w:pPr>
    </w:p>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 xml:space="preserve">3.判定规则 </w:t>
      </w:r>
    </w:p>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 xml:space="preserve">3.1 依据标准 </w:t>
      </w:r>
    </w:p>
    <w:p>
      <w:pPr>
        <w:keepNext w:val="0"/>
        <w:keepLines w:val="0"/>
        <w:pageBreakBefore w:val="0"/>
        <w:widowControl w:val="0"/>
        <w:kinsoku/>
        <w:wordWrap/>
        <w:overflowPunct/>
        <w:topLinePunct w:val="0"/>
        <w:autoSpaceDE/>
        <w:autoSpaceDN/>
        <w:bidi w:val="0"/>
        <w:snapToGrid w:val="0"/>
        <w:spacing w:line="440" w:lineRule="exact"/>
        <w:ind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GB29518-2013 柴油发动机氮氧化物还原剂 尿素水溶液（AUS32）</w:t>
      </w:r>
    </w:p>
    <w:p>
      <w:pPr>
        <w:keepNext w:val="0"/>
        <w:keepLines w:val="0"/>
        <w:pageBreakBefore w:val="0"/>
        <w:widowControl w:val="0"/>
        <w:kinsoku/>
        <w:wordWrap/>
        <w:overflowPunct/>
        <w:topLinePunct w:val="0"/>
        <w:autoSpaceDE/>
        <w:autoSpaceDN/>
        <w:bidi w:val="0"/>
        <w:snapToGrid w:val="0"/>
        <w:spacing w:line="440" w:lineRule="exact"/>
        <w:ind w:firstLine="420" w:firstLineChars="200"/>
        <w:jc w:val="left"/>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现行有效的企业标准、团体标准、地方标准及产品明示质量要求</w:t>
      </w:r>
      <w:r>
        <w:rPr>
          <w:rFonts w:hint="eastAsia" w:ascii="宋体" w:hAnsi="宋体" w:eastAsia="宋体" w:cs="宋体"/>
          <w:color w:val="000000"/>
          <w:sz w:val="21"/>
          <w:szCs w:val="21"/>
          <w:lang w:eastAsia="zh-CN"/>
        </w:rPr>
        <w:t>。</w:t>
      </w:r>
    </w:p>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 xml:space="preserve">3.2 判定原则 </w:t>
      </w:r>
    </w:p>
    <w:p>
      <w:pPr>
        <w:keepNext w:val="0"/>
        <w:keepLines w:val="0"/>
        <w:pageBreakBefore w:val="0"/>
        <w:widowControl w:val="0"/>
        <w:kinsoku/>
        <w:wordWrap/>
        <w:overflowPunct/>
        <w:topLinePunct w:val="0"/>
        <w:autoSpaceDE/>
        <w:autoSpaceDN/>
        <w:bidi w:val="0"/>
        <w:adjustRightInd w:val="0"/>
        <w:snapToGrid w:val="0"/>
        <w:spacing w:line="440" w:lineRule="exact"/>
        <w:ind w:firstLine="417" w:firstLineChars="199"/>
        <w:jc w:val="left"/>
        <w:textAlignment w:val="auto"/>
        <w:rPr>
          <w:rFonts w:hint="eastAsia" w:ascii="宋体" w:hAnsi="宋体" w:eastAsia="宋体" w:cs="宋体"/>
          <w:color w:val="000000"/>
          <w:sz w:val="21"/>
          <w:szCs w:val="21"/>
        </w:rPr>
      </w:pPr>
      <w:r>
        <w:rPr>
          <w:rFonts w:hint="eastAsia" w:ascii="宋体" w:hAnsi="宋体" w:eastAsia="宋体" w:cs="宋体"/>
          <w:sz w:val="21"/>
          <w:szCs w:val="21"/>
          <w:lang w:val="en-US" w:eastAsia="zh-CN"/>
        </w:rPr>
        <w:t>经检验，检验项目全部合格，</w:t>
      </w:r>
      <w:r>
        <w:rPr>
          <w:rFonts w:hint="eastAsia" w:ascii="宋体" w:hAnsi="宋体" w:eastAsia="宋体" w:cs="宋体"/>
          <w:color w:val="000000"/>
          <w:sz w:val="21"/>
          <w:szCs w:val="21"/>
        </w:rPr>
        <w:t>判定为被抽查产品所检项目未发现不合格</w:t>
      </w:r>
      <w:r>
        <w:rPr>
          <w:rFonts w:hint="eastAsia" w:ascii="宋体" w:hAnsi="宋体" w:eastAsia="宋体" w:cs="宋体"/>
          <w:sz w:val="21"/>
          <w:szCs w:val="21"/>
          <w:lang w:val="en-US" w:eastAsia="zh-CN"/>
        </w:rPr>
        <w:t>；检验项目中任一项或一项以上不合格，判定为被抽查产品不合格。</w:t>
      </w:r>
    </w:p>
    <w:p>
      <w:pPr>
        <w:keepNext w:val="0"/>
        <w:keepLines w:val="0"/>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若被检产品明示的质量要求高于本细则中检验项目依据的标准要求时，应按被检产品明示的质量要求判定。 </w:t>
      </w:r>
    </w:p>
    <w:p>
      <w:pPr>
        <w:keepNext w:val="0"/>
        <w:keepLines w:val="0"/>
        <w:pageBreakBefore w:val="0"/>
        <w:widowControl w:val="0"/>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若被检产品明示的质量要求低于本细则中检验项目依据的强制性标准要求时，应按照强制性标准要求判定。 </w:t>
      </w:r>
    </w:p>
    <w:p>
      <w:pPr>
        <w:keepNext w:val="0"/>
        <w:keepLines w:val="0"/>
        <w:pageBreakBefore w:val="0"/>
        <w:widowControl w:val="0"/>
        <w:kinsoku/>
        <w:wordWrap/>
        <w:overflowPunct/>
        <w:topLinePunct w:val="0"/>
        <w:autoSpaceDE/>
        <w:autoSpaceDN/>
        <w:bidi w:val="0"/>
        <w:adjustRightInd w:val="0"/>
        <w:snapToGrid w:val="0"/>
        <w:spacing w:line="440" w:lineRule="exact"/>
        <w:ind w:firstLine="417" w:firstLineChars="199"/>
        <w:jc w:val="left"/>
        <w:textAlignment w:val="auto"/>
        <w:rPr>
          <w:rFonts w:ascii="仿宋_GB2312" w:hAnsi="Times New Roman" w:eastAsia="仿宋_GB2312"/>
          <w:color w:val="000000"/>
          <w:sz w:val="21"/>
          <w:szCs w:val="21"/>
        </w:rPr>
      </w:pPr>
      <w:r>
        <w:rPr>
          <w:rFonts w:hint="eastAsia" w:ascii="宋体" w:hAnsi="宋体" w:eastAsia="宋体" w:cs="宋体"/>
          <w:sz w:val="21"/>
          <w:szCs w:val="21"/>
          <w:lang w:val="en-US" w:eastAsia="zh-CN"/>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pacing w:line="440" w:lineRule="exact"/>
        <w:ind w:firstLine="420" w:firstLineChars="200"/>
        <w:jc w:val="left"/>
        <w:textAlignment w:val="auto"/>
        <w:rPr>
          <w:rFonts w:hint="eastAsia"/>
          <w:sz w:val="21"/>
          <w:szCs w:val="21"/>
        </w:rPr>
      </w:pPr>
      <w:r>
        <w:rPr>
          <w:rFonts w:hint="eastAsia"/>
          <w:sz w:val="21"/>
          <w:szCs w:val="21"/>
          <w:lang w:val="en-US" w:eastAsia="zh-CN"/>
        </w:rPr>
        <w:t xml:space="preserve">若被检产品明示的质量要求缺少本细则中检验项目依据的强制性标准要求时，应按照强制性标准要求判定。 </w:t>
      </w:r>
    </w:p>
    <w:p>
      <w:pPr>
        <w:keepNext w:val="0"/>
        <w:keepLines w:val="0"/>
        <w:pageBreakBefore w:val="0"/>
        <w:widowControl w:val="0"/>
        <w:kinsoku/>
        <w:wordWrap/>
        <w:overflowPunct/>
        <w:topLinePunct w:val="0"/>
        <w:autoSpaceDE/>
        <w:autoSpaceDN/>
        <w:bidi w:val="0"/>
        <w:spacing w:line="440" w:lineRule="exact"/>
        <w:ind w:firstLine="420" w:firstLineChars="200"/>
        <w:jc w:val="left"/>
        <w:textAlignment w:val="auto"/>
        <w:rPr>
          <w:rFonts w:hint="eastAsia"/>
          <w:sz w:val="21"/>
          <w:szCs w:val="21"/>
        </w:rPr>
      </w:pPr>
      <w:r>
        <w:rPr>
          <w:rFonts w:hint="eastAsia"/>
          <w:sz w:val="21"/>
          <w:szCs w:val="21"/>
          <w:lang w:val="en-US" w:eastAsia="zh-CN"/>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pacing w:line="440" w:lineRule="exact"/>
        <w:jc w:val="left"/>
        <w:textAlignment w:val="auto"/>
        <w:rPr>
          <w:rFonts w:hint="eastAsia" w:ascii="宋体" w:hAnsi="宋体" w:eastAsia="宋体" w:cs="宋体"/>
          <w:sz w:val="21"/>
          <w:szCs w:val="21"/>
        </w:rPr>
      </w:pP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left"/>
        <w:textAlignment w:val="auto"/>
        <w:rPr>
          <w:rFonts w:hint="eastAsia"/>
          <w:sz w:val="21"/>
          <w:szCs w:val="21"/>
        </w:rPr>
      </w:pPr>
    </w:p>
    <w:p>
      <w:pPr>
        <w:pStyle w:val="5"/>
        <w:rPr>
          <w:rFonts w:hint="eastAsia"/>
        </w:rPr>
      </w:pPr>
    </w:p>
    <w:p>
      <w:pPr>
        <w:pStyle w:val="5"/>
        <w:rPr>
          <w:rFonts w:hint="eastAsia"/>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仿宋简体">
    <w:altName w:val="方正仿宋_GBK"/>
    <w:panose1 w:val="00000000000000000000"/>
    <w:charset w:val="86"/>
    <w:family w:val="auto"/>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hODJmMDllNGFiZGYyNDhjOGQzMDg2YWU4NmFlYTEifQ=="/>
  </w:docVars>
  <w:rsids>
    <w:rsidRoot w:val="006A064B"/>
    <w:rsid w:val="006A064B"/>
    <w:rsid w:val="009E375E"/>
    <w:rsid w:val="00C36BBD"/>
    <w:rsid w:val="00F91F60"/>
    <w:rsid w:val="06413050"/>
    <w:rsid w:val="0DA118BB"/>
    <w:rsid w:val="162EBC35"/>
    <w:rsid w:val="1DBE097F"/>
    <w:rsid w:val="250F386E"/>
    <w:rsid w:val="2A0322FB"/>
    <w:rsid w:val="36C37669"/>
    <w:rsid w:val="387A0C3E"/>
    <w:rsid w:val="476C6CAC"/>
    <w:rsid w:val="583A23D4"/>
    <w:rsid w:val="5870714C"/>
    <w:rsid w:val="58826AEB"/>
    <w:rsid w:val="7FAE7DEF"/>
    <w:rsid w:val="BF57C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
    <w:name w:val="Body Text Indent"/>
    <w:basedOn w:val="1"/>
    <w:qFormat/>
    <w:uiPriority w:val="0"/>
    <w:pPr>
      <w:ind w:firstLine="420"/>
    </w:pPr>
    <w:rPr>
      <w:rFonts w:eastAsia="方正仿宋简体"/>
      <w:sz w:val="32"/>
      <w:szCs w:val="32"/>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Body Text First Indent 2"/>
    <w:basedOn w:val="3"/>
    <w:unhideWhenUsed/>
    <w:qFormat/>
    <w:uiPriority w:val="99"/>
    <w:pPr>
      <w:ind w:firstLineChars="200"/>
    </w:p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746</Words>
  <Characters>826</Characters>
  <Lines>18</Lines>
  <Paragraphs>5</Paragraphs>
  <TotalTime>2</TotalTime>
  <ScaleCrop>false</ScaleCrop>
  <LinksUpToDate>false</LinksUpToDate>
  <CharactersWithSpaces>849</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2023-02-10T18:08:00Z</dcterms:created>
  <dc:creator>Dell</dc:creator>
  <cp:lastModifiedBy>scj</cp:lastModifiedBy>
  <dcterms:modified xsi:type="dcterms:W3CDTF">2024-01-10T06:02:32Z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C1DB2818520942AF8ED9F895F8BBE998_13</vt:lpwstr>
  </property>
</Properties>
</file>