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eastAsia="zh-CN"/>
        </w:rPr>
        <w:t>液化石油气</w:t>
      </w:r>
      <w:r>
        <w:rPr>
          <w:rFonts w:hint="eastAsia" w:ascii="方正小标宋简体" w:hAnsi="方正小标宋简体" w:eastAsia="方正小标宋简体" w:cs="方正小标宋简体"/>
          <w:sz w:val="32"/>
          <w:szCs w:val="32"/>
        </w:rPr>
        <w:t>产品质量焦作市监督抽查实施细则</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（2024年版）</w:t>
      </w:r>
    </w:p>
    <w:p>
      <w:pPr>
        <w:bidi w:val="0"/>
        <w:jc w:val="both"/>
        <w:rPr>
          <w:rFonts w:hint="eastAsia" w:ascii="宋体" w:hAnsi="宋体" w:eastAsia="宋体" w:cs="宋体"/>
          <w:b/>
          <w:bCs/>
          <w:sz w:val="32"/>
          <w:szCs w:val="32"/>
        </w:rPr>
      </w:pP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本细则适用焦作市市场监督管理局组织的液化石油气产品质量监督抽查。本细则规定了此产品的抽样方法、检验依据、检验项目、检验方法、判定原则等。</w:t>
      </w: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1.抽样方法 </w:t>
      </w:r>
    </w:p>
    <w:p>
      <w:pPr>
        <w:keepNext w:val="0"/>
        <w:keepLines w:val="0"/>
        <w:pageBreakBefore w:val="0"/>
        <w:widowControl w:val="0"/>
        <w:kinsoku/>
        <w:wordWrap/>
        <w:overflowPunct/>
        <w:topLinePunct w:val="0"/>
        <w:autoSpaceDE/>
        <w:autoSpaceDN/>
        <w:bidi w:val="0"/>
        <w:adjustRightInd w:val="0"/>
        <w:snapToGrid w:val="0"/>
        <w:spacing w:before="50" w:line="44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在抽样时，取样方法执行SH/T 0233-1992标准的规定，取4kg为样本，分作两份，盛装在专用液化石油气抽样罐中，一份作为检验样品，一份作为备用样品。</w:t>
      </w:r>
    </w:p>
    <w:p>
      <w:pPr>
        <w:keepNext w:val="0"/>
        <w:keepLines w:val="0"/>
        <w:pageBreakBefore w:val="0"/>
        <w:widowControl w:val="0"/>
        <w:kinsoku/>
        <w:wordWrap/>
        <w:overflowPunct/>
        <w:topLinePunct w:val="0"/>
        <w:autoSpaceDE/>
        <w:autoSpaceDN/>
        <w:bidi w:val="0"/>
        <w:adjustRightInd w:val="0"/>
        <w:snapToGrid w:val="0"/>
        <w:spacing w:before="50" w:line="44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所采得的样品只能是液体，避免从罐底采样。如果液化石油气储气罐容积较大，采样前可使样品进行循环，以达到均匀。</w:t>
      </w:r>
    </w:p>
    <w:p>
      <w:pPr>
        <w:keepNext w:val="0"/>
        <w:keepLines w:val="0"/>
        <w:pageBreakBefore w:val="0"/>
        <w:widowControl w:val="0"/>
        <w:kinsoku/>
        <w:wordWrap/>
        <w:overflowPunct/>
        <w:topLinePunct w:val="0"/>
        <w:autoSpaceDE/>
        <w:autoSpaceDN/>
        <w:bidi w:val="0"/>
        <w:adjustRightInd w:val="0"/>
        <w:snapToGrid w:val="0"/>
        <w:spacing w:before="50" w:line="440" w:lineRule="exact"/>
        <w:ind w:firstLine="420" w:firstLineChars="200"/>
        <w:jc w:val="left"/>
        <w:textAlignment w:val="auto"/>
        <w:rPr>
          <w:rFonts w:hint="eastAsia" w:ascii="宋体" w:hAnsi="宋体" w:eastAsia="宋体" w:cs="宋体"/>
          <w:color w:val="auto"/>
          <w:spacing w:val="-6"/>
          <w:sz w:val="21"/>
          <w:szCs w:val="21"/>
        </w:rPr>
      </w:pPr>
      <w:r>
        <w:rPr>
          <w:rFonts w:hint="eastAsia" w:ascii="宋体" w:hAnsi="宋体" w:eastAsia="宋体" w:cs="宋体"/>
          <w:color w:val="auto"/>
          <w:sz w:val="21"/>
          <w:szCs w:val="21"/>
        </w:rPr>
        <w:t>先用试样冲洗采样管和采样器，然后将液相试样装满采样器，然后再排出占采样器20%的试样，留下80%的试样在采样器中。</w:t>
      </w:r>
    </w:p>
    <w:tbl>
      <w:tblPr>
        <w:tblStyle w:val="8"/>
        <w:tblW w:w="9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1771"/>
        <w:gridCol w:w="1962"/>
        <w:gridCol w:w="2263"/>
        <w:gridCol w:w="2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0"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序号</w:t>
            </w:r>
          </w:p>
        </w:tc>
        <w:tc>
          <w:tcPr>
            <w:tcW w:w="1771"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产品种类</w:t>
            </w:r>
          </w:p>
        </w:tc>
        <w:tc>
          <w:tcPr>
            <w:tcW w:w="1962" w:type="dxa"/>
            <w:vAlign w:val="center"/>
          </w:tcPr>
          <w:p>
            <w:pPr>
              <w:keepNext w:val="0"/>
              <w:keepLines w:val="0"/>
              <w:pageBreakBefore w:val="0"/>
              <w:widowControl w:val="0"/>
              <w:kinsoku/>
              <w:wordWrap/>
              <w:overflowPunct/>
              <w:topLinePunct w:val="0"/>
              <w:autoSpaceDE/>
              <w:autoSpaceDN/>
              <w:bidi w:val="0"/>
              <w:spacing w:before="50" w:after="50" w:line="440" w:lineRule="exact"/>
              <w:jc w:val="left"/>
              <w:textAlignment w:val="auto"/>
              <w:rPr>
                <w:rFonts w:hint="eastAsia" w:ascii="宋体" w:hAnsi="宋体" w:eastAsia="宋体" w:cs="宋体"/>
                <w:sz w:val="21"/>
                <w:szCs w:val="21"/>
              </w:rPr>
            </w:pPr>
            <w:r>
              <w:rPr>
                <w:rFonts w:hint="eastAsia" w:ascii="宋体" w:hAnsi="宋体" w:eastAsia="宋体" w:cs="宋体"/>
                <w:bCs/>
                <w:color w:val="auto"/>
                <w:kern w:val="0"/>
                <w:sz w:val="21"/>
                <w:szCs w:val="21"/>
              </w:rPr>
              <w:t>抽样数量（kg）</w:t>
            </w:r>
          </w:p>
        </w:tc>
        <w:tc>
          <w:tcPr>
            <w:tcW w:w="2263" w:type="dxa"/>
            <w:vAlign w:val="center"/>
          </w:tcPr>
          <w:p>
            <w:pPr>
              <w:keepNext w:val="0"/>
              <w:keepLines w:val="0"/>
              <w:pageBreakBefore w:val="0"/>
              <w:widowControl w:val="0"/>
              <w:kinsoku/>
              <w:wordWrap/>
              <w:overflowPunct/>
              <w:topLinePunct w:val="0"/>
              <w:autoSpaceDE/>
              <w:autoSpaceDN/>
              <w:bidi w:val="0"/>
              <w:spacing w:before="50" w:after="50" w:line="440" w:lineRule="exact"/>
              <w:jc w:val="left"/>
              <w:textAlignment w:val="auto"/>
              <w:rPr>
                <w:rFonts w:hint="eastAsia" w:ascii="宋体" w:hAnsi="宋体" w:eastAsia="宋体" w:cs="宋体"/>
                <w:sz w:val="21"/>
                <w:szCs w:val="21"/>
              </w:rPr>
            </w:pPr>
            <w:r>
              <w:rPr>
                <w:rFonts w:hint="eastAsia" w:ascii="宋体" w:hAnsi="宋体" w:eastAsia="宋体" w:cs="宋体"/>
                <w:color w:val="auto"/>
                <w:sz w:val="21"/>
                <w:szCs w:val="21"/>
              </w:rPr>
              <w:t>检验样品数量</w:t>
            </w:r>
            <w:r>
              <w:rPr>
                <w:rFonts w:hint="eastAsia" w:ascii="宋体" w:hAnsi="宋体" w:eastAsia="宋体" w:cs="宋体"/>
                <w:bCs/>
                <w:color w:val="auto"/>
                <w:kern w:val="0"/>
                <w:sz w:val="21"/>
                <w:szCs w:val="21"/>
              </w:rPr>
              <w:t>（kg）</w:t>
            </w:r>
          </w:p>
        </w:tc>
        <w:tc>
          <w:tcPr>
            <w:tcW w:w="2475" w:type="dxa"/>
            <w:vAlign w:val="center"/>
          </w:tcPr>
          <w:p>
            <w:pPr>
              <w:keepNext w:val="0"/>
              <w:keepLines w:val="0"/>
              <w:pageBreakBefore w:val="0"/>
              <w:widowControl w:val="0"/>
              <w:kinsoku/>
              <w:wordWrap/>
              <w:overflowPunct/>
              <w:topLinePunct w:val="0"/>
              <w:autoSpaceDE/>
              <w:autoSpaceDN/>
              <w:bidi w:val="0"/>
              <w:spacing w:before="50" w:after="50" w:line="440" w:lineRule="exact"/>
              <w:jc w:val="left"/>
              <w:textAlignment w:val="auto"/>
              <w:rPr>
                <w:rFonts w:hint="eastAsia" w:ascii="宋体" w:hAnsi="宋体" w:eastAsia="宋体" w:cs="宋体"/>
                <w:sz w:val="21"/>
                <w:szCs w:val="21"/>
              </w:rPr>
            </w:pPr>
            <w:r>
              <w:rPr>
                <w:rFonts w:hint="eastAsia" w:ascii="宋体" w:hAnsi="宋体" w:eastAsia="宋体" w:cs="宋体"/>
                <w:color w:val="auto"/>
                <w:sz w:val="21"/>
                <w:szCs w:val="21"/>
              </w:rPr>
              <w:t>备用样品数量</w:t>
            </w:r>
            <w:r>
              <w:rPr>
                <w:rFonts w:hint="eastAsia" w:ascii="宋体" w:hAnsi="宋体" w:eastAsia="宋体" w:cs="宋体"/>
                <w:bCs/>
                <w:color w:val="auto"/>
                <w:kern w:val="0"/>
                <w:sz w:val="21"/>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z w:val="21"/>
                <w:szCs w:val="21"/>
                <w:lang w:val="en-US" w:eastAsia="zh-CN"/>
              </w:rPr>
            </w:pPr>
            <w:r>
              <w:rPr>
                <w:rFonts w:hint="eastAsia" w:ascii="宋体" w:hAnsi="宋体" w:eastAsia="宋体" w:cs="宋体"/>
                <w:color w:val="000000"/>
                <w:sz w:val="21"/>
                <w:szCs w:val="21"/>
              </w:rPr>
              <w:t>1</w:t>
            </w:r>
          </w:p>
        </w:tc>
        <w:tc>
          <w:tcPr>
            <w:tcW w:w="1771" w:type="dxa"/>
            <w:vAlign w:val="center"/>
          </w:tcPr>
          <w:p>
            <w:pPr>
              <w:keepNext w:val="0"/>
              <w:keepLines w:val="0"/>
              <w:pageBreakBefore w:val="0"/>
              <w:widowControl w:val="0"/>
              <w:kinsoku/>
              <w:wordWrap/>
              <w:overflowPunct/>
              <w:topLinePunct w:val="0"/>
              <w:autoSpaceDE/>
              <w:autoSpaceDN/>
              <w:bidi w:val="0"/>
              <w:adjustRightInd w:val="0"/>
              <w:spacing w:before="50" w:after="50" w:line="440" w:lineRule="exact"/>
              <w:jc w:val="left"/>
              <w:textAlignment w:val="auto"/>
              <w:rPr>
                <w:rFonts w:hint="eastAsia" w:ascii="宋体" w:hAnsi="宋体" w:eastAsia="宋体" w:cs="宋体"/>
                <w:color w:val="auto"/>
                <w:kern w:val="0"/>
                <w:sz w:val="21"/>
                <w:szCs w:val="21"/>
                <w:lang w:val="en-US" w:eastAsia="zh-CN" w:bidi="ar-SA"/>
              </w:rPr>
            </w:pPr>
            <w:r>
              <w:rPr>
                <w:rFonts w:hint="eastAsia" w:ascii="宋体" w:hAnsi="宋体" w:eastAsia="宋体" w:cs="宋体"/>
                <w:bCs/>
                <w:color w:val="auto"/>
                <w:kern w:val="0"/>
                <w:sz w:val="21"/>
                <w:szCs w:val="21"/>
              </w:rPr>
              <w:t>液化石油气</w:t>
            </w:r>
          </w:p>
        </w:tc>
        <w:tc>
          <w:tcPr>
            <w:tcW w:w="1962" w:type="dxa"/>
            <w:vAlign w:val="center"/>
          </w:tcPr>
          <w:p>
            <w:pPr>
              <w:keepNext w:val="0"/>
              <w:keepLines w:val="0"/>
              <w:pageBreakBefore w:val="0"/>
              <w:widowControl w:val="0"/>
              <w:kinsoku/>
              <w:wordWrap/>
              <w:overflowPunct/>
              <w:topLinePunct w:val="0"/>
              <w:autoSpaceDE/>
              <w:autoSpaceDN/>
              <w:bidi w:val="0"/>
              <w:spacing w:before="50" w:after="50" w:line="440" w:lineRule="exact"/>
              <w:jc w:val="left"/>
              <w:textAlignment w:val="auto"/>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4</w:t>
            </w:r>
          </w:p>
        </w:tc>
        <w:tc>
          <w:tcPr>
            <w:tcW w:w="2263" w:type="dxa"/>
            <w:vAlign w:val="center"/>
          </w:tcPr>
          <w:p>
            <w:pPr>
              <w:keepNext w:val="0"/>
              <w:keepLines w:val="0"/>
              <w:pageBreakBefore w:val="0"/>
              <w:widowControl w:val="0"/>
              <w:kinsoku/>
              <w:wordWrap/>
              <w:overflowPunct/>
              <w:topLinePunct w:val="0"/>
              <w:autoSpaceDE/>
              <w:autoSpaceDN/>
              <w:bidi w:val="0"/>
              <w:spacing w:before="50" w:after="50" w:line="440" w:lineRule="exact"/>
              <w:jc w:val="left"/>
              <w:textAlignment w:val="auto"/>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2</w:t>
            </w:r>
          </w:p>
        </w:tc>
        <w:tc>
          <w:tcPr>
            <w:tcW w:w="2475" w:type="dxa"/>
            <w:vAlign w:val="center"/>
          </w:tcPr>
          <w:p>
            <w:pPr>
              <w:keepNext w:val="0"/>
              <w:keepLines w:val="0"/>
              <w:pageBreakBefore w:val="0"/>
              <w:widowControl w:val="0"/>
              <w:kinsoku/>
              <w:wordWrap/>
              <w:overflowPunct/>
              <w:topLinePunct w:val="0"/>
              <w:autoSpaceDE/>
              <w:autoSpaceDN/>
              <w:bidi w:val="0"/>
              <w:spacing w:before="50" w:after="50" w:line="440" w:lineRule="exact"/>
              <w:jc w:val="left"/>
              <w:textAlignment w:val="auto"/>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2</w:t>
            </w:r>
          </w:p>
        </w:tc>
      </w:tr>
    </w:tbl>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lang w:val="en-US" w:eastAsia="zh-CN"/>
        </w:rPr>
      </w:pP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sz w:val="21"/>
          <w:szCs w:val="21"/>
        </w:rPr>
      </w:pPr>
      <w:r>
        <w:rPr>
          <w:rFonts w:hint="eastAsia" w:ascii="宋体" w:hAnsi="宋体" w:eastAsia="宋体" w:cs="宋体"/>
          <w:b/>
          <w:bCs/>
          <w:sz w:val="21"/>
          <w:szCs w:val="21"/>
          <w:lang w:val="en-US" w:eastAsia="zh-CN"/>
        </w:rPr>
        <w:t>2.检验依据</w:t>
      </w:r>
      <w:r>
        <w:rPr>
          <w:rFonts w:hint="eastAsia" w:ascii="宋体" w:hAnsi="宋体" w:eastAsia="宋体" w:cs="宋体"/>
          <w:sz w:val="21"/>
          <w:szCs w:val="21"/>
          <w:lang w:val="en-US" w:eastAsia="zh-C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4350"/>
        <w:gridCol w:w="4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b/>
                <w:bCs/>
                <w:sz w:val="21"/>
                <w:szCs w:val="21"/>
              </w:rPr>
            </w:pPr>
            <w:r>
              <w:rPr>
                <w:b/>
                <w:bCs/>
                <w:sz w:val="21"/>
                <w:szCs w:val="21"/>
                <w:lang w:val="en-US" w:eastAsia="zh-CN"/>
              </w:rPr>
              <w:t>序号</w:t>
            </w:r>
          </w:p>
        </w:tc>
        <w:tc>
          <w:tcPr>
            <w:tcW w:w="4350"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b/>
                <w:bCs/>
                <w:sz w:val="21"/>
                <w:szCs w:val="21"/>
              </w:rPr>
            </w:pPr>
            <w:r>
              <w:rPr>
                <w:b/>
                <w:bCs/>
                <w:sz w:val="21"/>
                <w:szCs w:val="21"/>
                <w:lang w:val="en-US" w:eastAsia="zh-CN"/>
              </w:rPr>
              <w:t>检验项目</w:t>
            </w:r>
          </w:p>
        </w:tc>
        <w:tc>
          <w:tcPr>
            <w:tcW w:w="4125"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b/>
                <w:bCs/>
                <w:sz w:val="21"/>
                <w:szCs w:val="21"/>
              </w:rPr>
            </w:pPr>
            <w:r>
              <w:rPr>
                <w:b/>
                <w:bCs/>
                <w:sz w:val="21"/>
                <w:szCs w:val="21"/>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密度</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ascii="仿宋_GB2312" w:hAnsi="Times New Roman" w:eastAsia="仿宋_GB2312" w:cs="仿宋_GB2312"/>
                <w:color w:val="auto"/>
                <w:kern w:val="2"/>
                <w:sz w:val="21"/>
                <w:szCs w:val="21"/>
                <w:lang w:val="en-US" w:eastAsia="zh-CN"/>
              </w:rPr>
              <w:t>SH/T 0221</w:t>
            </w:r>
            <w:r>
              <w:rPr>
                <w:rFonts w:hint="eastAsia" w:ascii="仿宋_GB2312" w:hAnsi="Times New Roman" w:eastAsia="仿宋_GB2312" w:cs="仿宋_GB2312"/>
                <w:color w:val="auto"/>
                <w:kern w:val="2"/>
                <w:sz w:val="21"/>
                <w:szCs w:val="21"/>
                <w:lang w:val="en-US" w:eastAsia="zh-CN"/>
              </w:rPr>
              <w:t>-1992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蒸气压</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ascii="仿宋_GB2312" w:hAnsi="Times New Roman" w:eastAsia="仿宋_GB2312" w:cs="仿宋_GB2312"/>
                <w:color w:val="auto"/>
                <w:kern w:val="2"/>
                <w:sz w:val="21"/>
                <w:szCs w:val="21"/>
                <w:lang w:val="en-US" w:eastAsia="zh-CN"/>
              </w:rPr>
              <w:t>GB/T 12576</w:t>
            </w:r>
            <w:r>
              <w:rPr>
                <w:rFonts w:hint="eastAsia" w:ascii="仿宋_GB2312" w:hAnsi="Times New Roman" w:eastAsia="仿宋_GB2312" w:cs="仿宋_GB2312"/>
                <w:color w:val="auto"/>
                <w:kern w:val="2"/>
                <w:sz w:val="21"/>
                <w:szCs w:val="21"/>
                <w:lang w:val="en-US" w:eastAsia="zh-CN"/>
              </w:rPr>
              <w:t>-1997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组分</w:t>
            </w:r>
          </w:p>
        </w:tc>
        <w:tc>
          <w:tcPr>
            <w:tcW w:w="4125" w:type="dxa"/>
            <w:vAlign w:val="center"/>
          </w:tcPr>
          <w:p>
            <w:pPr>
              <w:keepNext w:val="0"/>
              <w:keepLines w:val="0"/>
              <w:pageBreakBefore w:val="0"/>
              <w:widowControl w:val="0"/>
              <w:kinsoku/>
              <w:wordWrap/>
              <w:overflowPunct/>
              <w:topLinePunct w:val="0"/>
              <w:autoSpaceDE/>
              <w:autoSpaceDN/>
              <w:bidi w:val="0"/>
              <w:adjustRightInd w:val="0"/>
              <w:snapToGrid w:val="0"/>
              <w:spacing w:before="60" w:after="60" w:line="440" w:lineRule="exact"/>
              <w:ind w:right="-105" w:rightChars="-50"/>
              <w:jc w:val="left"/>
              <w:textAlignment w:val="auto"/>
              <w:rPr>
                <w:rFonts w:hint="eastAsia" w:ascii="宋体" w:hAnsi="宋体" w:eastAsia="宋体" w:cs="宋体"/>
                <w:color w:val="000000"/>
                <w:kern w:val="2"/>
                <w:sz w:val="21"/>
                <w:szCs w:val="21"/>
                <w:lang w:val="en-US" w:eastAsia="zh-CN" w:bidi="ar-SA"/>
              </w:rPr>
            </w:pPr>
            <w:r>
              <w:rPr>
                <w:rFonts w:hint="eastAsia" w:ascii="仿宋_GB2312" w:hAnsi="Times New Roman" w:eastAsia="仿宋_GB2312" w:cs="仿宋_GB2312"/>
                <w:color w:val="auto"/>
                <w:kern w:val="2"/>
                <w:sz w:val="21"/>
                <w:szCs w:val="21"/>
                <w:lang w:val="en-US" w:eastAsia="zh-CN"/>
              </w:rPr>
              <w:t>NB/</w:t>
            </w:r>
            <w:r>
              <w:rPr>
                <w:rFonts w:ascii="仿宋_GB2312" w:hAnsi="Times New Roman" w:eastAsia="仿宋_GB2312" w:cs="仿宋_GB2312"/>
                <w:color w:val="auto"/>
                <w:kern w:val="2"/>
                <w:sz w:val="21"/>
                <w:szCs w:val="21"/>
                <w:lang w:val="en-US" w:eastAsia="zh-CN"/>
              </w:rPr>
              <w:t>SH/T 0230</w:t>
            </w:r>
            <w:r>
              <w:rPr>
                <w:rFonts w:hint="eastAsia" w:ascii="仿宋_GB2312" w:hAnsi="Times New Roman" w:eastAsia="仿宋_GB2312" w:cs="仿宋_GB2312"/>
                <w:color w:val="auto"/>
                <w:kern w:val="2"/>
                <w:sz w:val="21"/>
                <w:szCs w:val="21"/>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残留物</w:t>
            </w:r>
          </w:p>
        </w:tc>
        <w:tc>
          <w:tcPr>
            <w:tcW w:w="4125" w:type="dxa"/>
            <w:vAlign w:val="center"/>
          </w:tcPr>
          <w:p>
            <w:pPr>
              <w:pStyle w:val="4"/>
              <w:keepNext w:val="0"/>
              <w:keepLines w:val="0"/>
              <w:pageBreakBefore w:val="0"/>
              <w:widowControl w:val="0"/>
              <w:kinsoku/>
              <w:wordWrap/>
              <w:overflowPunct/>
              <w:topLinePunct w:val="0"/>
              <w:autoSpaceDE/>
              <w:autoSpaceDN/>
              <w:bidi w:val="0"/>
              <w:adjustRightInd w:val="0"/>
              <w:snapToGrid w:val="0"/>
              <w:spacing w:before="50" w:after="50" w:line="440" w:lineRule="exact"/>
              <w:jc w:val="left"/>
              <w:textAlignment w:val="auto"/>
              <w:rPr>
                <w:rFonts w:hint="eastAsia" w:ascii="仿宋_GB2312" w:hAnsi="Times New Roman" w:eastAsia="仿宋_GB2312" w:cs="仿宋_GB2312"/>
                <w:color w:val="auto"/>
                <w:kern w:val="2"/>
                <w:sz w:val="21"/>
                <w:szCs w:val="21"/>
                <w:lang w:val="en-US" w:eastAsia="zh-CN" w:bidi="ar-SA"/>
              </w:rPr>
            </w:pPr>
            <w:r>
              <w:rPr>
                <w:rFonts w:ascii="仿宋_GB2312" w:hAnsi="Times New Roman" w:eastAsia="仿宋_GB2312" w:cs="仿宋_GB2312"/>
                <w:color w:val="auto"/>
                <w:kern w:val="2"/>
                <w:sz w:val="21"/>
                <w:szCs w:val="21"/>
                <w:lang w:val="en-US" w:eastAsia="zh-CN"/>
              </w:rPr>
              <w:t>SY/T 7509</w:t>
            </w:r>
            <w:r>
              <w:rPr>
                <w:rFonts w:hint="eastAsia" w:ascii="仿宋_GB2312" w:hAnsi="Times New Roman" w:eastAsia="仿宋_GB2312" w:cs="仿宋_GB2312"/>
                <w:color w:val="auto"/>
                <w:kern w:val="2"/>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铜片腐蚀</w:t>
            </w:r>
          </w:p>
        </w:tc>
        <w:tc>
          <w:tcPr>
            <w:tcW w:w="4125" w:type="dxa"/>
            <w:vAlign w:val="top"/>
          </w:tcPr>
          <w:p>
            <w:pPr>
              <w:pStyle w:val="4"/>
              <w:keepNext w:val="0"/>
              <w:keepLines w:val="0"/>
              <w:pageBreakBefore w:val="0"/>
              <w:widowControl w:val="0"/>
              <w:kinsoku/>
              <w:wordWrap/>
              <w:overflowPunct/>
              <w:topLinePunct w:val="0"/>
              <w:autoSpaceDE/>
              <w:autoSpaceDN/>
              <w:bidi w:val="0"/>
              <w:adjustRightInd w:val="0"/>
              <w:snapToGrid w:val="0"/>
              <w:spacing w:before="50" w:after="50" w:line="440" w:lineRule="exact"/>
              <w:jc w:val="left"/>
              <w:textAlignment w:val="auto"/>
              <w:rPr>
                <w:rFonts w:hint="eastAsia" w:ascii="仿宋_GB2312" w:hAnsi="Times New Roman" w:eastAsia="仿宋_GB2312" w:cs="仿宋_GB2312"/>
                <w:color w:val="auto"/>
                <w:kern w:val="2"/>
                <w:sz w:val="21"/>
                <w:szCs w:val="21"/>
                <w:lang w:val="en-US" w:eastAsia="zh-CN" w:bidi="ar-SA"/>
              </w:rPr>
            </w:pPr>
            <w:r>
              <w:rPr>
                <w:rFonts w:ascii="仿宋_GB2312" w:hAnsi="Times New Roman" w:eastAsia="仿宋_GB2312" w:cs="仿宋_GB2312"/>
                <w:color w:val="auto"/>
                <w:kern w:val="2"/>
                <w:sz w:val="21"/>
                <w:szCs w:val="21"/>
                <w:lang w:val="en-US" w:eastAsia="zh-CN"/>
              </w:rPr>
              <w:t>SH/T 0232</w:t>
            </w:r>
            <w:r>
              <w:rPr>
                <w:rFonts w:hint="eastAsia" w:ascii="仿宋_GB2312" w:hAnsi="Times New Roman" w:eastAsia="仿宋_GB2312" w:cs="仿宋_GB2312"/>
                <w:color w:val="auto"/>
                <w:kern w:val="2"/>
                <w:sz w:val="21"/>
                <w:szCs w:val="21"/>
                <w:lang w:val="en-US" w:eastAsia="zh-CN"/>
              </w:rPr>
              <w:t>-1992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总硫含量</w:t>
            </w:r>
          </w:p>
        </w:tc>
        <w:tc>
          <w:tcPr>
            <w:tcW w:w="4125" w:type="dxa"/>
            <w:vAlign w:val="top"/>
          </w:tcPr>
          <w:p>
            <w:pPr>
              <w:pStyle w:val="4"/>
              <w:keepNext w:val="0"/>
              <w:keepLines w:val="0"/>
              <w:pageBreakBefore w:val="0"/>
              <w:widowControl w:val="0"/>
              <w:kinsoku/>
              <w:wordWrap/>
              <w:overflowPunct/>
              <w:topLinePunct w:val="0"/>
              <w:autoSpaceDE/>
              <w:autoSpaceDN/>
              <w:bidi w:val="0"/>
              <w:adjustRightInd w:val="0"/>
              <w:snapToGrid w:val="0"/>
              <w:spacing w:before="50" w:after="50" w:line="440" w:lineRule="exact"/>
              <w:jc w:val="left"/>
              <w:textAlignment w:val="auto"/>
              <w:rPr>
                <w:rFonts w:hint="default" w:ascii="仿宋_GB2312" w:hAnsi="Times New Roman" w:eastAsia="仿宋_GB2312" w:cs="仿宋_GB2312"/>
                <w:color w:val="auto"/>
                <w:kern w:val="2"/>
                <w:sz w:val="21"/>
                <w:szCs w:val="21"/>
                <w:lang w:val="en-US" w:eastAsia="zh-CN" w:bidi="ar-SA"/>
              </w:rPr>
            </w:pPr>
            <w:r>
              <w:rPr>
                <w:rFonts w:hint="eastAsia" w:ascii="仿宋_GB2312" w:hAnsi="Times New Roman" w:eastAsia="仿宋_GB2312" w:cs="仿宋_GB2312"/>
                <w:color w:val="auto"/>
                <w:kern w:val="2"/>
                <w:sz w:val="21"/>
                <w:szCs w:val="21"/>
                <w:lang w:val="en-US" w:eastAsia="zh-CN" w:bidi="ar-SA"/>
              </w:rPr>
              <w:t>SH/T 0222-1992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硫化氢</w:t>
            </w:r>
          </w:p>
        </w:tc>
        <w:tc>
          <w:tcPr>
            <w:tcW w:w="4125" w:type="dxa"/>
            <w:vAlign w:val="top"/>
          </w:tcPr>
          <w:p>
            <w:pPr>
              <w:pStyle w:val="4"/>
              <w:keepNext w:val="0"/>
              <w:keepLines w:val="0"/>
              <w:pageBreakBefore w:val="0"/>
              <w:widowControl w:val="0"/>
              <w:kinsoku/>
              <w:wordWrap/>
              <w:overflowPunct/>
              <w:topLinePunct w:val="0"/>
              <w:autoSpaceDE/>
              <w:autoSpaceDN/>
              <w:bidi w:val="0"/>
              <w:adjustRightInd w:val="0"/>
              <w:snapToGrid w:val="0"/>
              <w:spacing w:before="50" w:after="50" w:line="440" w:lineRule="exact"/>
              <w:jc w:val="left"/>
              <w:textAlignment w:val="auto"/>
              <w:rPr>
                <w:rFonts w:hint="eastAsia" w:ascii="仿宋_GB2312" w:hAnsi="Times New Roman" w:eastAsia="仿宋_GB2312" w:cs="仿宋_GB2312"/>
                <w:color w:val="auto"/>
                <w:kern w:val="2"/>
                <w:sz w:val="21"/>
                <w:szCs w:val="21"/>
                <w:lang w:val="en-US" w:eastAsia="zh-CN" w:bidi="ar-SA"/>
              </w:rPr>
            </w:pPr>
            <w:r>
              <w:rPr>
                <w:rFonts w:hint="eastAsia" w:ascii="仿宋_GB2312" w:hAnsi="Times New Roman" w:eastAsia="仿宋_GB2312" w:cs="仿宋_GB2312"/>
                <w:color w:val="auto"/>
                <w:kern w:val="2"/>
                <w:sz w:val="21"/>
                <w:szCs w:val="21"/>
                <w:lang w:val="en-US" w:eastAsia="zh-CN"/>
              </w:rPr>
              <w:t>SH/T 0125-1992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游离水</w:t>
            </w:r>
          </w:p>
        </w:tc>
        <w:tc>
          <w:tcPr>
            <w:tcW w:w="4125" w:type="dxa"/>
            <w:vAlign w:val="center"/>
          </w:tcPr>
          <w:p>
            <w:pPr>
              <w:keepNext w:val="0"/>
              <w:keepLines w:val="0"/>
              <w:pageBreakBefore w:val="0"/>
              <w:widowControl w:val="0"/>
              <w:kinsoku/>
              <w:wordWrap/>
              <w:overflowPunct/>
              <w:topLinePunct w:val="0"/>
              <w:autoSpaceDE/>
              <w:autoSpaceDN/>
              <w:bidi w:val="0"/>
              <w:snapToGrid w:val="0"/>
              <w:spacing w:line="440" w:lineRule="exact"/>
              <w:jc w:val="left"/>
              <w:textAlignment w:val="auto"/>
              <w:rPr>
                <w:rFonts w:hint="eastAsia" w:ascii="宋体" w:hAnsi="宋体" w:eastAsia="宋体" w:cs="宋体"/>
                <w:color w:val="000000"/>
                <w:sz w:val="21"/>
                <w:szCs w:val="21"/>
              </w:rPr>
            </w:pPr>
            <w:r>
              <w:rPr>
                <w:rFonts w:hint="eastAsia" w:ascii="仿宋_GB2312" w:hAnsi="Times New Roman" w:eastAsia="仿宋_GB2312" w:cs="仿宋_GB2312"/>
                <w:color w:val="auto"/>
                <w:kern w:val="2"/>
                <w:sz w:val="21"/>
                <w:szCs w:val="21"/>
                <w:lang w:val="en-US" w:eastAsia="zh-CN"/>
              </w:rPr>
              <w:t>目测</w:t>
            </w:r>
            <w:bookmarkStart w:id="0" w:name="_GoBack"/>
            <w:bookmarkEnd w:id="0"/>
          </w:p>
        </w:tc>
      </w:tr>
    </w:tbl>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440" w:lineRule="exact"/>
        <w:ind w:firstLine="417" w:firstLineChars="199"/>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lang w:val="en-US" w:eastAsia="zh-CN"/>
        </w:rPr>
      </w:pP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3.判定规则 </w:t>
      </w: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3.1 依据标准 </w:t>
      </w:r>
    </w:p>
    <w:p>
      <w:pPr>
        <w:keepNext w:val="0"/>
        <w:keepLines w:val="0"/>
        <w:pageBreakBefore w:val="0"/>
        <w:widowControl w:val="0"/>
        <w:kinsoku/>
        <w:wordWrap/>
        <w:overflowPunct/>
        <w:topLinePunct w:val="0"/>
        <w:autoSpaceDE/>
        <w:autoSpaceDN/>
        <w:bidi w:val="0"/>
        <w:snapToGrid w:val="0"/>
        <w:spacing w:line="440" w:lineRule="exact"/>
        <w:ind w:firstLine="420" w:firstLineChars="200"/>
        <w:jc w:val="left"/>
        <w:textAlignment w:val="auto"/>
        <w:rPr>
          <w:rFonts w:hint="eastAsia" w:ascii="宋体" w:hAnsi="宋体" w:eastAsia="宋体" w:cs="宋体"/>
          <w:color w:val="auto"/>
          <w:sz w:val="21"/>
          <w:szCs w:val="21"/>
        </w:rPr>
      </w:pPr>
      <w:r>
        <w:rPr>
          <w:rFonts w:hint="eastAsia" w:ascii="仿宋_GB2312" w:eastAsia="仿宋_GB2312" w:cs="宋体"/>
          <w:color w:val="auto"/>
          <w:sz w:val="21"/>
          <w:szCs w:val="21"/>
        </w:rPr>
        <w:t xml:space="preserve">GB 11174-2011 </w:t>
      </w:r>
      <w:r>
        <w:rPr>
          <w:rFonts w:hint="eastAsia" w:ascii="宋体" w:hAnsi="宋体" w:eastAsia="宋体" w:cs="宋体"/>
          <w:color w:val="auto"/>
          <w:sz w:val="21"/>
          <w:szCs w:val="21"/>
        </w:rPr>
        <w:t>液化石油气</w:t>
      </w:r>
    </w:p>
    <w:p>
      <w:pPr>
        <w:keepNext w:val="0"/>
        <w:keepLines w:val="0"/>
        <w:pageBreakBefore w:val="0"/>
        <w:widowControl w:val="0"/>
        <w:kinsoku/>
        <w:wordWrap/>
        <w:overflowPunct/>
        <w:topLinePunct w:val="0"/>
        <w:autoSpaceDE/>
        <w:autoSpaceDN/>
        <w:bidi w:val="0"/>
        <w:snapToGrid w:val="0"/>
        <w:spacing w:line="440" w:lineRule="exact"/>
        <w:ind w:firstLine="420" w:firstLineChars="200"/>
        <w:jc w:val="lef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3.2 判定原则 </w:t>
      </w:r>
    </w:p>
    <w:p>
      <w:pPr>
        <w:keepNext w:val="0"/>
        <w:keepLines w:val="0"/>
        <w:pageBreakBefore w:val="0"/>
        <w:widowControl w:val="0"/>
        <w:kinsoku/>
        <w:wordWrap/>
        <w:overflowPunct/>
        <w:topLinePunct w:val="0"/>
        <w:autoSpaceDE/>
        <w:autoSpaceDN/>
        <w:bidi w:val="0"/>
        <w:adjustRightInd w:val="0"/>
        <w:snapToGrid w:val="0"/>
        <w:spacing w:line="440" w:lineRule="exact"/>
        <w:ind w:firstLine="417" w:firstLineChars="199"/>
        <w:jc w:val="left"/>
        <w:textAlignment w:val="auto"/>
        <w:rPr>
          <w:rFonts w:hint="eastAsia" w:ascii="宋体" w:hAnsi="宋体" w:eastAsia="宋体" w:cs="宋体"/>
          <w:color w:val="000000"/>
          <w:sz w:val="21"/>
          <w:szCs w:val="21"/>
        </w:rPr>
      </w:pPr>
      <w:r>
        <w:rPr>
          <w:rFonts w:hint="eastAsia" w:ascii="宋体" w:hAnsi="宋体" w:eastAsia="宋体" w:cs="宋体"/>
          <w:sz w:val="21"/>
          <w:szCs w:val="21"/>
          <w:lang w:val="en-US" w:eastAsia="zh-CN"/>
        </w:rPr>
        <w:t>经检验，检验项目全部合格，</w:t>
      </w:r>
      <w:r>
        <w:rPr>
          <w:rFonts w:hint="eastAsia" w:ascii="宋体" w:hAnsi="宋体" w:eastAsia="宋体" w:cs="宋体"/>
          <w:color w:val="000000"/>
          <w:sz w:val="21"/>
          <w:szCs w:val="21"/>
        </w:rPr>
        <w:t>判定为被抽查产品所检项目未发现不合格</w:t>
      </w:r>
      <w:r>
        <w:rPr>
          <w:rFonts w:hint="eastAsia" w:ascii="宋体" w:hAnsi="宋体" w:eastAsia="宋体" w:cs="宋体"/>
          <w:sz w:val="21"/>
          <w:szCs w:val="21"/>
          <w:lang w:val="en-US" w:eastAsia="zh-CN"/>
        </w:rPr>
        <w:t>；检验项目中任一项或一项以上不合格，判定为被抽查产品不合格。</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若被检产品明示的质量要求高于本细则中检验项目依据的标准要求时，应按被检产品明示的质量要求判定。 </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若被检产品明示的质量要求低于本细则中检验项目依据的强制性标准要求时，应按照强制性标准要求判定。 </w:t>
      </w:r>
    </w:p>
    <w:p>
      <w:pPr>
        <w:keepNext w:val="0"/>
        <w:keepLines w:val="0"/>
        <w:pageBreakBefore w:val="0"/>
        <w:widowControl w:val="0"/>
        <w:kinsoku/>
        <w:wordWrap/>
        <w:overflowPunct/>
        <w:topLinePunct w:val="0"/>
        <w:autoSpaceDE/>
        <w:autoSpaceDN/>
        <w:bidi w:val="0"/>
        <w:adjustRightInd w:val="0"/>
        <w:snapToGrid w:val="0"/>
        <w:spacing w:line="440" w:lineRule="exact"/>
        <w:ind w:firstLine="417" w:firstLineChars="199"/>
        <w:jc w:val="left"/>
        <w:textAlignment w:val="auto"/>
        <w:rPr>
          <w:rFonts w:ascii="仿宋_GB2312" w:hAnsi="Times New Roman" w:eastAsia="仿宋_GB2312"/>
          <w:color w:val="000000"/>
          <w:sz w:val="21"/>
          <w:szCs w:val="21"/>
        </w:rPr>
      </w:pPr>
      <w:r>
        <w:rPr>
          <w:rFonts w:hint="eastAsia" w:ascii="宋体" w:hAnsi="宋体" w:eastAsia="宋体" w:cs="宋体"/>
          <w:sz w:val="21"/>
          <w:szCs w:val="21"/>
          <w:lang w:val="en-US"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sz w:val="21"/>
          <w:szCs w:val="21"/>
        </w:rPr>
      </w:pPr>
      <w:r>
        <w:rPr>
          <w:rFonts w:hint="eastAsia"/>
          <w:sz w:val="21"/>
          <w:szCs w:val="21"/>
          <w:lang w:val="en-US" w:eastAsia="zh-CN"/>
        </w:rPr>
        <w:t xml:space="preserve">若被检产品明示的质量要求缺少本细则中检验项目依据的强制性标准要求时，应按照强制性标准要求判定。 </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sz w:val="21"/>
          <w:szCs w:val="21"/>
        </w:rPr>
      </w:pPr>
      <w:r>
        <w:rPr>
          <w:rFonts w:hint="eastAsia"/>
          <w:sz w:val="21"/>
          <w:szCs w:val="21"/>
          <w:lang w:val="en-US" w:eastAsia="zh-CN"/>
        </w:rPr>
        <w:t>若被检产品明示的质量要求缺少本细则中检验项目依据的推荐性标准要求时，该项目不参与判定。</w:t>
      </w:r>
    </w:p>
    <w:p>
      <w:pPr>
        <w:bidi w:val="0"/>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rPr>
      </w:pPr>
    </w:p>
    <w:p>
      <w:pPr>
        <w:pStyle w:val="6"/>
        <w:rPr>
          <w:rFonts w:hint="eastAsia"/>
        </w:rPr>
      </w:pPr>
    </w:p>
    <w:p>
      <w:pPr>
        <w:pStyle w:val="6"/>
        <w:rPr>
          <w:rFonts w:hint="eastAsia"/>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国标小标宋">
    <w:panose1 w:val="02000500000000000000"/>
    <w:charset w:val="86"/>
    <w:family w:val="auto"/>
    <w:pitch w:val="default"/>
    <w:sig w:usb0="00000001" w:usb1="08000000" w:usb2="00000000" w:usb3="00000000" w:csb0="00060007" w:csb1="00000000"/>
  </w:font>
  <w:font w:name="CESI仿宋-GB2312">
    <w:panose1 w:val="02000500000000000000"/>
    <w:charset w:val="86"/>
    <w:family w:val="auto"/>
    <w:pitch w:val="default"/>
    <w:sig w:usb0="800002AF" w:usb1="084F6CF8" w:usb2="00000010" w:usb3="00000000" w:csb0="0004000F" w:csb1="00000000"/>
  </w:font>
  <w:font w:name="CESI楷体-GB2312">
    <w:panose1 w:val="02000500000000000000"/>
    <w:charset w:val="86"/>
    <w:family w:val="auto"/>
    <w:pitch w:val="default"/>
    <w:sig w:usb0="800002BF" w:usb1="184F6CF8" w:usb2="00000012"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hODJmMDllNGFiZGYyNDhjOGQzMDg2YWU4NmFlYTEifQ=="/>
  </w:docVars>
  <w:rsids>
    <w:rsidRoot w:val="006A064B"/>
    <w:rsid w:val="006A064B"/>
    <w:rsid w:val="009E375E"/>
    <w:rsid w:val="00C36BBD"/>
    <w:rsid w:val="00F91F60"/>
    <w:rsid w:val="06413050"/>
    <w:rsid w:val="0DA118BB"/>
    <w:rsid w:val="0FB27C1C"/>
    <w:rsid w:val="1DBE097F"/>
    <w:rsid w:val="250F386E"/>
    <w:rsid w:val="36C37669"/>
    <w:rsid w:val="387A0C3E"/>
    <w:rsid w:val="476C6CAC"/>
    <w:rsid w:val="583A23D4"/>
    <w:rsid w:val="5870714C"/>
    <w:rsid w:val="58826AEB"/>
    <w:rsid w:val="7E5F5463"/>
    <w:rsid w:val="7FAE7DEF"/>
    <w:rsid w:val="B6BD63EB"/>
    <w:rsid w:val="F5F79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Body Text Indent"/>
    <w:basedOn w:val="1"/>
    <w:qFormat/>
    <w:uiPriority w:val="0"/>
    <w:pPr>
      <w:ind w:firstLine="420"/>
    </w:pPr>
    <w:rPr>
      <w:rFonts w:eastAsia="方正仿宋简体"/>
      <w:sz w:val="32"/>
      <w:szCs w:val="32"/>
    </w:rPr>
  </w:style>
  <w:style w:type="paragraph" w:styleId="4">
    <w:name w:val="Plain Text"/>
    <w:basedOn w:val="1"/>
    <w:qFormat/>
    <w:uiPriority w:val="99"/>
    <w:rPr>
      <w:rFonts w:ascii="宋体" w:hAnsi="Courier New"/>
      <w:kern w:val="0"/>
      <w:sz w:val="20"/>
      <w:szCs w:val="20"/>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Body Text First Indent 2"/>
    <w:basedOn w:val="3"/>
    <w:unhideWhenUsed/>
    <w:qFormat/>
    <w:uiPriority w:val="99"/>
    <w:pPr>
      <w:ind w:firstLineChars="200"/>
    </w:p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848</Words>
  <Characters>983</Characters>
  <Lines>18</Lines>
  <Paragraphs>5</Paragraphs>
  <TotalTime>1</TotalTime>
  <ScaleCrop>false</ScaleCrop>
  <LinksUpToDate>false</LinksUpToDate>
  <CharactersWithSpaces>1008</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2023-02-10T18:08:00Z</dcterms:created>
  <dc:creator>Dell</dc:creator>
  <cp:lastModifiedBy>scj</cp:lastModifiedBy>
  <dcterms:modified xsi:type="dcterms:W3CDTF">2024-01-10T06:04:31Z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5E2FFEAE38CA4BD9977CC59AAF9B443D_13</vt:lpwstr>
  </property>
</Properties>
</file>