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firstLine="0"/>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煤炭产品质量焦作市监督抽查实施细则</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方正仿宋_GBK" w:eastAsia="仿宋_GB2312" w:cs="方正仿宋_GBK"/>
          <w:sz w:val="21"/>
          <w:szCs w:val="21"/>
        </w:rPr>
      </w:pPr>
      <w:r>
        <w:rPr>
          <w:rFonts w:hint="eastAsia" w:ascii="仿宋_GB2312" w:hAnsi="方正仿宋_GBK" w:eastAsia="仿宋_GB2312" w:cs="方正仿宋_GBK"/>
          <w:sz w:val="21"/>
          <w:szCs w:val="21"/>
        </w:rPr>
        <w:t>本细则适用焦作市市场监督管理局组织的煤炭产品质量监督抽查。本细则规定了此产品的抽样方法、检验依据、检验项目、检验方法、判定原则等。</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黑体" w:hAnsi="黑体" w:eastAsia="黑体"/>
          <w:color w:val="000000"/>
          <w:sz w:val="21"/>
          <w:szCs w:val="21"/>
        </w:rPr>
      </w:pPr>
      <w:r>
        <w:rPr>
          <w:rFonts w:ascii="黑体" w:hAnsi="黑体" w:eastAsia="黑体"/>
          <w:color w:val="000000"/>
          <w:sz w:val="21"/>
          <w:szCs w:val="21"/>
        </w:rPr>
        <w:t>1</w:t>
      </w:r>
      <w:r>
        <w:rPr>
          <w:rFonts w:hint="eastAsia" w:ascii="黑体" w:hAnsi="黑体" w:eastAsia="黑体"/>
          <w:color w:val="000000"/>
          <w:sz w:val="21"/>
          <w:szCs w:val="21"/>
        </w:rPr>
        <w:t xml:space="preserve"> 抽样方法</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1</w:t>
      </w:r>
      <w:r>
        <w:rPr>
          <w:rFonts w:ascii="仿宋_GB2312" w:hAnsi="仿宋_GB2312" w:eastAsia="仿宋_GB2312" w:cs="仿宋_GB2312"/>
          <w:sz w:val="21"/>
          <w:szCs w:val="21"/>
        </w:rPr>
        <w:t xml:space="preserve">.1 </w:t>
      </w:r>
      <w:r>
        <w:rPr>
          <w:rFonts w:hint="eastAsia" w:ascii="仿宋_GB2312" w:hAnsi="仿宋_GB2312" w:eastAsia="仿宋_GB2312" w:cs="仿宋_GB2312"/>
          <w:sz w:val="21"/>
          <w:szCs w:val="21"/>
        </w:rPr>
        <w:t>民用型煤的抽取</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民用型煤应当采用简单随机法在生产加工企业自检合格的样品堆中抽取，一个样品抽取两块，分别封存（封存时应当确保样品袋密封完好），一块用于检验，一块用于备检。</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1</w:t>
      </w:r>
      <w:r>
        <w:rPr>
          <w:rFonts w:ascii="仿宋_GB2312" w:hAnsi="仿宋_GB2312" w:eastAsia="仿宋_GB2312" w:cs="仿宋_GB2312"/>
          <w:sz w:val="21"/>
          <w:szCs w:val="21"/>
        </w:rPr>
        <w:t xml:space="preserve">.2 </w:t>
      </w:r>
      <w:r>
        <w:rPr>
          <w:rFonts w:hint="eastAsia" w:ascii="仿宋_GB2312" w:hAnsi="仿宋_GB2312" w:eastAsia="仿宋_GB2312" w:cs="仿宋_GB2312"/>
          <w:sz w:val="21"/>
          <w:szCs w:val="21"/>
        </w:rPr>
        <w:t>散煤的抽取</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散煤的抽取由检验机构按国家有关法规、标准要求抽取，样品抽取后现场缩分成四公斤，分成一式两份（一份检验，一份留存）由抽样人员签封后带回检验机构。</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color w:val="000000"/>
          <w:sz w:val="21"/>
          <w:szCs w:val="21"/>
        </w:rPr>
      </w:pPr>
      <w:r>
        <w:rPr>
          <w:rFonts w:hint="eastAsia" w:ascii="仿宋_GB2312" w:hAnsi="仿宋_GB2312" w:eastAsia="仿宋_GB2312" w:cs="仿宋_GB2312"/>
          <w:color w:val="000000"/>
          <w:sz w:val="21"/>
          <w:szCs w:val="21"/>
        </w:rPr>
        <w:t>原则上同一家被抽样企业同一煤质只抽取一个样品。</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b/>
          <w:bCs/>
          <w:sz w:val="21"/>
          <w:szCs w:val="21"/>
        </w:rPr>
      </w:pPr>
      <w:r>
        <w:rPr>
          <w:rFonts w:ascii="黑体" w:hAnsi="黑体" w:eastAsia="黑体"/>
          <w:color w:val="000000"/>
          <w:sz w:val="21"/>
          <w:szCs w:val="21"/>
        </w:rPr>
        <w:t>2</w:t>
      </w:r>
      <w:r>
        <w:rPr>
          <w:rFonts w:hint="eastAsia" w:ascii="黑体" w:hAnsi="黑体" w:eastAsia="黑体"/>
          <w:color w:val="000000"/>
          <w:sz w:val="21"/>
          <w:szCs w:val="21"/>
        </w:rPr>
        <w:t xml:space="preserve"> 检验依据</w:t>
      </w:r>
    </w:p>
    <w:p>
      <w:pPr>
        <w:keepNext w:val="0"/>
        <w:keepLines w:val="0"/>
        <w:pageBreakBefore w:val="0"/>
        <w:kinsoku/>
        <w:wordWrap/>
        <w:overflowPunct/>
        <w:topLinePunct w:val="0"/>
        <w:bidi w:val="0"/>
        <w:spacing w:line="440" w:lineRule="exact"/>
        <w:ind w:firstLine="421" w:firstLineChars="200"/>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表1 散煤检验项目和方法标准</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817"/>
        <w:gridCol w:w="2176"/>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3"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序号</w:t>
            </w:r>
          </w:p>
        </w:tc>
        <w:tc>
          <w:tcPr>
            <w:tcW w:w="2817"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检验项目</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检验方法标准</w:t>
            </w:r>
          </w:p>
        </w:tc>
        <w:tc>
          <w:tcPr>
            <w:tcW w:w="271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强制性</w:t>
            </w:r>
            <w:r>
              <w:rPr>
                <w:rFonts w:ascii="仿宋_GB2312" w:hAnsi="仿宋_GB2312" w:eastAsia="仿宋_GB2312" w:cs="仿宋_GB2312"/>
                <w:b/>
                <w:bCs/>
                <w:sz w:val="21"/>
                <w:szCs w:val="21"/>
              </w:rPr>
              <w:t>/</w:t>
            </w:r>
            <w:r>
              <w:rPr>
                <w:rFonts w:hint="eastAsia" w:ascii="仿宋_GB2312" w:hAnsi="仿宋_GB2312" w:eastAsia="仿宋_GB2312" w:cs="仿宋_GB2312"/>
                <w:b/>
                <w:bCs/>
                <w:sz w:val="21"/>
                <w:szCs w:val="21"/>
              </w:rPr>
              <w:t>推荐性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13" w:type="dxa"/>
            <w:vAlign w:val="center"/>
          </w:tcPr>
          <w:p>
            <w:pPr>
              <w:keepNext w:val="0"/>
              <w:keepLines w:val="0"/>
              <w:pageBreakBefore w:val="0"/>
              <w:widowControl/>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1</w:t>
            </w:r>
          </w:p>
        </w:tc>
        <w:tc>
          <w:tcPr>
            <w:tcW w:w="2817" w:type="dxa"/>
            <w:vAlign w:val="center"/>
          </w:tcPr>
          <w:p>
            <w:pPr>
              <w:keepNext w:val="0"/>
              <w:keepLines w:val="0"/>
              <w:pageBreakBefore w:val="0"/>
              <w:widowControl/>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发热量（</w:t>
            </w:r>
            <w:r>
              <w:rPr>
                <w:rFonts w:ascii="仿宋_GB2312" w:hAnsi="仿宋_GB2312" w:eastAsia="仿宋_GB2312" w:cs="仿宋_GB2312"/>
                <w:sz w:val="21"/>
                <w:szCs w:val="21"/>
              </w:rPr>
              <w:t>Qnet</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v</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ar</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GB/T213</w:t>
            </w:r>
          </w:p>
        </w:tc>
        <w:tc>
          <w:tcPr>
            <w:tcW w:w="2716"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2</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全硫（</w:t>
            </w:r>
            <w:r>
              <w:rPr>
                <w:rFonts w:ascii="仿宋_GB2312" w:hAnsi="仿宋_GB2312" w:eastAsia="仿宋_GB2312" w:cs="仿宋_GB2312"/>
                <w:sz w:val="21"/>
                <w:szCs w:val="21"/>
              </w:rPr>
              <w:t>St</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d</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GB/T214</w:t>
            </w:r>
          </w:p>
        </w:tc>
        <w:tc>
          <w:tcPr>
            <w:tcW w:w="2716"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3</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灰分（</w:t>
            </w:r>
            <w:r>
              <w:rPr>
                <w:rFonts w:ascii="仿宋_GB2312" w:hAnsi="仿宋_GB2312" w:eastAsia="仿宋_GB2312" w:cs="仿宋_GB2312"/>
                <w:sz w:val="21"/>
                <w:szCs w:val="21"/>
              </w:rPr>
              <w:t>Ad</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GB/T212</w:t>
            </w:r>
          </w:p>
        </w:tc>
        <w:tc>
          <w:tcPr>
            <w:tcW w:w="2716"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4</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磷</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GB/T216</w:t>
            </w:r>
          </w:p>
        </w:tc>
        <w:tc>
          <w:tcPr>
            <w:tcW w:w="2716"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5</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氯</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GB/T3558</w:t>
            </w:r>
          </w:p>
        </w:tc>
        <w:tc>
          <w:tcPr>
            <w:tcW w:w="2716"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6</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砷</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GB/T3058</w:t>
            </w:r>
          </w:p>
        </w:tc>
        <w:tc>
          <w:tcPr>
            <w:tcW w:w="2716"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7</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汞</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GB/T16659</w:t>
            </w:r>
          </w:p>
        </w:tc>
        <w:tc>
          <w:tcPr>
            <w:tcW w:w="2716"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8</w:t>
            </w:r>
          </w:p>
        </w:tc>
        <w:tc>
          <w:tcPr>
            <w:tcW w:w="2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氟</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GB/T4633</w:t>
            </w:r>
          </w:p>
        </w:tc>
        <w:tc>
          <w:tcPr>
            <w:tcW w:w="2716"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bl>
    <w:p>
      <w:pPr>
        <w:keepNext w:val="0"/>
        <w:keepLines w:val="0"/>
        <w:pageBreakBefore w:val="0"/>
        <w:kinsoku/>
        <w:wordWrap/>
        <w:overflowPunct/>
        <w:topLinePunct w:val="0"/>
        <w:bidi w:val="0"/>
        <w:spacing w:line="440" w:lineRule="exact"/>
        <w:ind w:firstLine="421" w:firstLineChars="200"/>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表2 民用型煤检验项目和方法标准</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835"/>
        <w:gridCol w:w="2176"/>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17"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序号</w:t>
            </w:r>
          </w:p>
        </w:tc>
        <w:tc>
          <w:tcPr>
            <w:tcW w:w="2835"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检验项目</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检验方法标准</w:t>
            </w:r>
          </w:p>
        </w:tc>
        <w:tc>
          <w:tcPr>
            <w:tcW w:w="2744"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b/>
                <w:bCs/>
                <w:sz w:val="21"/>
                <w:szCs w:val="21"/>
              </w:rPr>
            </w:pPr>
            <w:r>
              <w:rPr>
                <w:rFonts w:hint="eastAsia" w:ascii="仿宋_GB2312" w:hAnsi="仿宋_GB2312" w:eastAsia="仿宋_GB2312" w:cs="仿宋_GB2312"/>
                <w:b/>
                <w:bCs/>
                <w:sz w:val="21"/>
                <w:szCs w:val="21"/>
              </w:rPr>
              <w:t>强制性</w:t>
            </w:r>
            <w:r>
              <w:rPr>
                <w:rFonts w:ascii="仿宋_GB2312" w:hAnsi="仿宋_GB2312" w:eastAsia="仿宋_GB2312" w:cs="仿宋_GB2312"/>
                <w:b/>
                <w:bCs/>
                <w:sz w:val="21"/>
                <w:szCs w:val="21"/>
              </w:rPr>
              <w:t>/</w:t>
            </w:r>
            <w:r>
              <w:rPr>
                <w:rFonts w:hint="eastAsia" w:ascii="仿宋_GB2312" w:hAnsi="仿宋_GB2312" w:eastAsia="仿宋_GB2312" w:cs="仿宋_GB2312"/>
                <w:b/>
                <w:bCs/>
                <w:sz w:val="21"/>
                <w:szCs w:val="21"/>
              </w:rPr>
              <w:t>推荐性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17" w:type="dxa"/>
            <w:vAlign w:val="center"/>
          </w:tcPr>
          <w:p>
            <w:pPr>
              <w:keepNext w:val="0"/>
              <w:keepLines w:val="0"/>
              <w:pageBreakBefore w:val="0"/>
              <w:widowControl/>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1</w:t>
            </w:r>
          </w:p>
        </w:tc>
        <w:tc>
          <w:tcPr>
            <w:tcW w:w="2835" w:type="dxa"/>
            <w:vAlign w:val="center"/>
          </w:tcPr>
          <w:p>
            <w:pPr>
              <w:keepNext w:val="0"/>
              <w:keepLines w:val="0"/>
              <w:pageBreakBefore w:val="0"/>
              <w:widowControl/>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发热量（</w:t>
            </w:r>
            <w:r>
              <w:rPr>
                <w:rFonts w:ascii="仿宋_GB2312" w:hAnsi="仿宋_GB2312" w:eastAsia="仿宋_GB2312" w:cs="仿宋_GB2312"/>
                <w:sz w:val="21"/>
                <w:szCs w:val="21"/>
              </w:rPr>
              <w:t>Qgr</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d</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GB/T213</w:t>
            </w:r>
          </w:p>
        </w:tc>
        <w:tc>
          <w:tcPr>
            <w:tcW w:w="2744"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2</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全硫（</w:t>
            </w:r>
            <w:r>
              <w:rPr>
                <w:rFonts w:ascii="仿宋_GB2312" w:hAnsi="仿宋_GB2312" w:eastAsia="仿宋_GB2312" w:cs="仿宋_GB2312"/>
                <w:sz w:val="21"/>
                <w:szCs w:val="21"/>
              </w:rPr>
              <w:t>St</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d</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GB/T214</w:t>
            </w:r>
          </w:p>
        </w:tc>
        <w:tc>
          <w:tcPr>
            <w:tcW w:w="2744"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cs="仿宋_GB2312"/>
                <w:sz w:val="21"/>
                <w:szCs w:val="21"/>
              </w:rPr>
            </w:pPr>
            <w:r>
              <w:rPr>
                <w:rFonts w:ascii="仿宋_GB2312" w:hAnsi="仿宋_GB2312" w:eastAsia="仿宋_GB2312" w:cs="仿宋_GB2312"/>
                <w:sz w:val="21"/>
                <w:szCs w:val="21"/>
              </w:rPr>
              <w:t>3</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挥发分（</w:t>
            </w:r>
            <w:r>
              <w:rPr>
                <w:rFonts w:ascii="仿宋_GB2312" w:hAnsi="仿宋_GB2312" w:eastAsia="仿宋_GB2312" w:cs="仿宋_GB2312"/>
                <w:sz w:val="21"/>
                <w:szCs w:val="21"/>
              </w:rPr>
              <w:t>Vd</w:t>
            </w:r>
            <w:r>
              <w:rPr>
                <w:rFonts w:hint="eastAsia" w:ascii="仿宋_GB2312" w:hAnsi="仿宋_GB2312" w:eastAsia="仿宋_GB2312" w:cs="仿宋_GB2312"/>
                <w:sz w:val="21"/>
                <w:szCs w:val="21"/>
              </w:rPr>
              <w:t>）</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GB/T212</w:t>
            </w:r>
          </w:p>
        </w:tc>
        <w:tc>
          <w:tcPr>
            <w:tcW w:w="2744" w:type="dxa"/>
            <w:vAlign w:val="center"/>
          </w:tcPr>
          <w:p>
            <w:pPr>
              <w:keepNext w:val="0"/>
              <w:keepLines w:val="0"/>
              <w:pageBreakBefore w:val="0"/>
              <w:kinsoku/>
              <w:wordWrap/>
              <w:overflowPunct/>
              <w:topLinePunct w:val="0"/>
              <w:bidi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4</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磷</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GB/T216</w:t>
            </w:r>
          </w:p>
        </w:tc>
        <w:tc>
          <w:tcPr>
            <w:tcW w:w="2744"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5</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氯</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GB/T3558</w:t>
            </w:r>
          </w:p>
        </w:tc>
        <w:tc>
          <w:tcPr>
            <w:tcW w:w="2744"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6</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砷</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GB/T3058</w:t>
            </w:r>
          </w:p>
        </w:tc>
        <w:tc>
          <w:tcPr>
            <w:tcW w:w="2744"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7</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汞</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GB/T16659</w:t>
            </w:r>
          </w:p>
        </w:tc>
        <w:tc>
          <w:tcPr>
            <w:tcW w:w="2744"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8</w:t>
            </w:r>
          </w:p>
        </w:tc>
        <w:tc>
          <w:tcPr>
            <w:tcW w:w="2835" w:type="dxa"/>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氟</w:t>
            </w:r>
          </w:p>
        </w:tc>
        <w:tc>
          <w:tcPr>
            <w:tcW w:w="2176" w:type="dxa"/>
            <w:vAlign w:val="center"/>
          </w:tcPr>
          <w:p>
            <w:pPr>
              <w:keepNext w:val="0"/>
              <w:keepLines w:val="0"/>
              <w:pageBreakBefore w:val="0"/>
              <w:kinsoku/>
              <w:wordWrap/>
              <w:overflowPunct/>
              <w:topLinePunct w:val="0"/>
              <w:bidi w:val="0"/>
              <w:spacing w:line="440" w:lineRule="exact"/>
              <w:jc w:val="left"/>
              <w:textAlignment w:val="auto"/>
              <w:rPr>
                <w:rFonts w:ascii="仿宋_GB2312" w:hAnsi="仿宋_GB2312" w:eastAsia="仿宋_GB2312"/>
                <w:sz w:val="21"/>
                <w:szCs w:val="21"/>
              </w:rPr>
            </w:pPr>
            <w:r>
              <w:rPr>
                <w:rFonts w:ascii="仿宋_GB2312" w:hAnsi="仿宋_GB2312" w:eastAsia="仿宋_GB2312" w:cs="仿宋_GB2312"/>
                <w:sz w:val="21"/>
                <w:szCs w:val="21"/>
              </w:rPr>
              <w:t>GB/T4633</w:t>
            </w:r>
          </w:p>
        </w:tc>
        <w:tc>
          <w:tcPr>
            <w:tcW w:w="2744" w:type="dxa"/>
          </w:tcPr>
          <w:p>
            <w:pPr>
              <w:keepNext w:val="0"/>
              <w:keepLines w:val="0"/>
              <w:pageBreakBefore w:val="0"/>
              <w:kinsoku/>
              <w:wordWrap/>
              <w:overflowPunct/>
              <w:topLinePunct w:val="0"/>
              <w:bidi w:val="0"/>
              <w:spacing w:line="440" w:lineRule="exact"/>
              <w:jc w:val="left"/>
              <w:textAlignment w:val="auto"/>
              <w:rPr>
                <w:sz w:val="21"/>
                <w:szCs w:val="21"/>
              </w:rPr>
            </w:pPr>
            <w:r>
              <w:rPr>
                <w:rFonts w:hint="eastAsia" w:ascii="仿宋_GB2312" w:hAnsi="仿宋_GB2312" w:eastAsia="仿宋_GB2312" w:cs="仿宋_GB2312"/>
                <w:sz w:val="21"/>
                <w:szCs w:val="21"/>
              </w:rPr>
              <w:t>推荐性条款</w:t>
            </w:r>
          </w:p>
        </w:tc>
      </w:tr>
    </w:tbl>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黑体" w:eastAsia="仿宋_GB2312"/>
          <w:color w:val="000000"/>
          <w:sz w:val="21"/>
          <w:szCs w:val="21"/>
        </w:rPr>
      </w:pPr>
      <w:r>
        <w:rPr>
          <w:rFonts w:hint="eastAsia" w:ascii="仿宋_GB2312" w:hAnsi="黑体" w:eastAsia="仿宋_GB2312"/>
          <w:color w:val="000000"/>
          <w:sz w:val="21"/>
          <w:szCs w:val="21"/>
        </w:rPr>
        <w:t>凡未标注年号的检验标准，其最新版适用于本文件。</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b/>
          <w:bCs/>
          <w:sz w:val="21"/>
          <w:szCs w:val="21"/>
        </w:rPr>
      </w:pPr>
      <w:r>
        <w:rPr>
          <w:rFonts w:ascii="黑体" w:hAnsi="黑体" w:eastAsia="黑体"/>
          <w:color w:val="000000"/>
          <w:sz w:val="21"/>
          <w:szCs w:val="21"/>
        </w:rPr>
        <w:t>3.</w:t>
      </w:r>
      <w:r>
        <w:rPr>
          <w:rFonts w:hint="eastAsia" w:ascii="黑体" w:hAnsi="黑体" w:eastAsia="黑体"/>
          <w:color w:val="000000"/>
          <w:sz w:val="21"/>
          <w:szCs w:val="21"/>
        </w:rPr>
        <w:t>判定规则</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3</w:t>
      </w:r>
      <w:r>
        <w:rPr>
          <w:rFonts w:ascii="仿宋_GB2312" w:hAnsi="仿宋_GB2312" w:eastAsia="仿宋_GB2312" w:cs="仿宋_GB2312"/>
          <w:sz w:val="21"/>
          <w:szCs w:val="21"/>
        </w:rPr>
        <w:t xml:space="preserve">.1 </w:t>
      </w:r>
      <w:r>
        <w:rPr>
          <w:rFonts w:hint="eastAsia" w:ascii="仿宋_GB2312" w:hAnsi="仿宋_GB2312" w:eastAsia="仿宋_GB2312" w:cs="仿宋_GB2312"/>
          <w:sz w:val="21"/>
          <w:szCs w:val="21"/>
        </w:rPr>
        <w:t>判定依据</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cs="仿宋_GB2312"/>
          <w:sz w:val="21"/>
          <w:szCs w:val="21"/>
        </w:rPr>
      </w:pPr>
      <w:r>
        <w:rPr>
          <w:rFonts w:hint="eastAsia" w:ascii="仿宋_GB2312" w:hAnsi="仿宋_GB2312" w:eastAsia="仿宋_GB2312" w:cs="仿宋_GB2312"/>
          <w:sz w:val="21"/>
          <w:szCs w:val="21"/>
        </w:rPr>
        <w:t>3</w:t>
      </w:r>
      <w:r>
        <w:rPr>
          <w:rFonts w:ascii="仿宋_GB2312" w:hAnsi="仿宋_GB2312" w:eastAsia="仿宋_GB2312" w:cs="仿宋_GB2312"/>
          <w:sz w:val="21"/>
          <w:szCs w:val="21"/>
        </w:rPr>
        <w:t>.1.1</w:t>
      </w:r>
      <w:r>
        <w:rPr>
          <w:rFonts w:hint="eastAsia" w:ascii="仿宋_GB2312" w:hAnsi="仿宋_GB2312" w:eastAsia="仿宋_GB2312" w:cs="仿宋_GB2312"/>
          <w:sz w:val="21"/>
          <w:szCs w:val="21"/>
        </w:rPr>
        <w:t>散煤按《河南省商品煤质量管理暂行办法》（豫发改能源</w:t>
      </w:r>
      <w:r>
        <w:rPr>
          <w:rFonts w:hint="eastAsia" w:ascii="仿宋_GB2312" w:hAnsi="宋体" w:eastAsia="仿宋_GB2312" w:cs="仿宋_GB2312"/>
          <w:sz w:val="21"/>
          <w:szCs w:val="21"/>
        </w:rPr>
        <w:t>〔</w:t>
      </w:r>
      <w:r>
        <w:rPr>
          <w:rFonts w:ascii="仿宋_GB2312" w:hAnsi="宋体" w:eastAsia="仿宋_GB2312" w:cs="仿宋_GB2312"/>
          <w:sz w:val="21"/>
          <w:szCs w:val="21"/>
        </w:rPr>
        <w:t>2015</w:t>
      </w:r>
      <w:r>
        <w:rPr>
          <w:rFonts w:hint="eastAsia" w:ascii="仿宋_GB2312" w:hAnsi="宋体" w:eastAsia="仿宋_GB2312" w:cs="仿宋_GB2312"/>
          <w:sz w:val="21"/>
          <w:szCs w:val="21"/>
        </w:rPr>
        <w:t>〕</w:t>
      </w:r>
      <w:r>
        <w:rPr>
          <w:rFonts w:ascii="仿宋_GB2312" w:hAnsi="宋体" w:eastAsia="仿宋_GB2312" w:cs="仿宋_GB2312"/>
          <w:sz w:val="21"/>
          <w:szCs w:val="21"/>
        </w:rPr>
        <w:t>1176</w:t>
      </w:r>
      <w:r>
        <w:rPr>
          <w:rFonts w:hint="eastAsia" w:ascii="仿宋_GB2312" w:hAnsi="宋体" w:eastAsia="仿宋_GB2312" w:cs="仿宋_GB2312"/>
          <w:sz w:val="21"/>
          <w:szCs w:val="21"/>
        </w:rPr>
        <w:t>号</w:t>
      </w:r>
      <w:r>
        <w:rPr>
          <w:rFonts w:hint="eastAsia" w:ascii="仿宋_GB2312" w:hAnsi="仿宋_GB2312" w:eastAsia="仿宋_GB2312" w:cs="仿宋_GB2312"/>
          <w:sz w:val="21"/>
          <w:szCs w:val="21"/>
        </w:rPr>
        <w:t>）文件要求执行；</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sz w:val="21"/>
          <w:szCs w:val="21"/>
        </w:rPr>
      </w:pPr>
      <w:r>
        <w:rPr>
          <w:rFonts w:hint="eastAsia" w:ascii="仿宋_GB2312" w:hAnsi="仿宋_GB2312" w:eastAsia="仿宋_GB2312" w:cs="仿宋_GB2312"/>
          <w:sz w:val="21"/>
          <w:szCs w:val="21"/>
        </w:rPr>
        <w:t>3</w:t>
      </w:r>
      <w:r>
        <w:rPr>
          <w:rFonts w:ascii="仿宋_GB2312" w:hAnsi="仿宋_GB2312" w:eastAsia="仿宋_GB2312" w:cs="仿宋_GB2312"/>
          <w:sz w:val="21"/>
          <w:szCs w:val="21"/>
        </w:rPr>
        <w:t>.1.</w:t>
      </w:r>
      <w:r>
        <w:rPr>
          <w:rFonts w:hint="eastAsia" w:ascii="仿宋_GB2312" w:hAnsi="仿宋_GB2312" w:eastAsia="仿宋_GB2312" w:cs="仿宋_GB2312"/>
          <w:sz w:val="21"/>
          <w:szCs w:val="21"/>
        </w:rPr>
        <w:t>2民用型煤按照《关于进一步加强洁净型煤生产供应工作的通知》（豫环攻坚办〔</w:t>
      </w:r>
      <w:r>
        <w:rPr>
          <w:rFonts w:ascii="仿宋_GB2312" w:hAnsi="仿宋_GB2312" w:eastAsia="仿宋_GB2312" w:cs="仿宋_GB2312"/>
          <w:sz w:val="21"/>
          <w:szCs w:val="21"/>
        </w:rPr>
        <w:t>2018</w:t>
      </w:r>
      <w:r>
        <w:rPr>
          <w:rFonts w:hint="eastAsia" w:ascii="仿宋_GB2312" w:hAnsi="仿宋_GB2312" w:eastAsia="仿宋_GB2312" w:cs="仿宋_GB2312"/>
          <w:sz w:val="21"/>
          <w:szCs w:val="21"/>
        </w:rPr>
        <w:t>〕</w:t>
      </w:r>
      <w:r>
        <w:rPr>
          <w:rFonts w:ascii="仿宋_GB2312" w:hAnsi="仿宋_GB2312" w:eastAsia="仿宋_GB2312" w:cs="仿宋_GB2312"/>
          <w:sz w:val="21"/>
          <w:szCs w:val="21"/>
        </w:rPr>
        <w:t>31</w:t>
      </w:r>
      <w:r>
        <w:rPr>
          <w:rFonts w:hint="eastAsia" w:ascii="仿宋_GB2312" w:hAnsi="仿宋_GB2312" w:eastAsia="仿宋_GB2312" w:cs="仿宋_GB2312"/>
          <w:sz w:val="21"/>
          <w:szCs w:val="21"/>
        </w:rPr>
        <w:t>号）文件要求，严格执行《商品煤质量 民用型煤》</w:t>
      </w:r>
      <w:r>
        <w:rPr>
          <w:rFonts w:ascii="仿宋_GB2312" w:hAnsi="仿宋_GB2312" w:eastAsia="仿宋_GB2312" w:cs="仿宋_GB2312"/>
          <w:sz w:val="21"/>
          <w:szCs w:val="21"/>
        </w:rPr>
        <w:t>GB34170-2017</w:t>
      </w:r>
      <w:r>
        <w:rPr>
          <w:rFonts w:hint="eastAsia" w:ascii="仿宋_GB2312" w:hAnsi="仿宋_GB2312" w:eastAsia="仿宋_GB2312" w:cs="仿宋_GB2312"/>
          <w:sz w:val="21"/>
          <w:szCs w:val="21"/>
        </w:rPr>
        <w:t>中的蜂窝煤（型煤）</w:t>
      </w:r>
      <w:r>
        <w:rPr>
          <w:rFonts w:ascii="仿宋_GB2312" w:hAnsi="仿宋_GB2312" w:eastAsia="仿宋_GB2312" w:cs="仿宋_GB2312"/>
          <w:sz w:val="21"/>
          <w:szCs w:val="21"/>
        </w:rPr>
        <w:t>1</w:t>
      </w:r>
      <w:r>
        <w:rPr>
          <w:rFonts w:hint="eastAsia" w:ascii="仿宋_GB2312" w:hAnsi="仿宋_GB2312" w:eastAsia="仿宋_GB2312" w:cs="仿宋_GB2312"/>
          <w:sz w:val="21"/>
          <w:szCs w:val="21"/>
        </w:rPr>
        <w:t>号标准。</w:t>
      </w:r>
    </w:p>
    <w:p>
      <w:pPr>
        <w:keepNext w:val="0"/>
        <w:keepLines w:val="0"/>
        <w:pageBreakBefore w:val="0"/>
        <w:kinsoku/>
        <w:wordWrap/>
        <w:overflowPunct/>
        <w:topLinePunct w:val="0"/>
        <w:autoSpaceDE w:val="0"/>
        <w:autoSpaceDN w:val="0"/>
        <w:bidi w:val="0"/>
        <w:adjustRightInd w:val="0"/>
        <w:spacing w:line="440" w:lineRule="exact"/>
        <w:ind w:firstLine="421" w:firstLineChars="200"/>
        <w:jc w:val="left"/>
        <w:textAlignment w:val="auto"/>
        <w:rPr>
          <w:rFonts w:ascii="楷体_GB2312" w:hAnsi="楷体" w:eastAsia="楷体_GB2312"/>
          <w:b/>
          <w:color w:val="000000"/>
          <w:sz w:val="21"/>
          <w:szCs w:val="21"/>
        </w:rPr>
      </w:pPr>
      <w:r>
        <w:rPr>
          <w:rFonts w:hint="eastAsia" w:ascii="楷体_GB2312" w:hAnsi="楷体" w:eastAsia="楷体_GB2312"/>
          <w:b/>
          <w:color w:val="000000"/>
          <w:sz w:val="21"/>
          <w:szCs w:val="21"/>
        </w:rPr>
        <w:t>3.2判定原则</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cs="仿宋_GB2312"/>
          <w:sz w:val="21"/>
          <w:szCs w:val="21"/>
        </w:rPr>
      </w:pPr>
      <w:r>
        <w:rPr>
          <w:rFonts w:hint="eastAsia" w:ascii="仿宋_GB2312" w:hAnsi="仿宋_GB2312" w:eastAsia="仿宋_GB2312" w:cs="仿宋_GB2312"/>
          <w:sz w:val="21"/>
          <w:szCs w:val="21"/>
        </w:rPr>
        <w:t>3.2.1表中的检验项目全部符合本方案中表1、表2条款要求，判定为被抽查产品所检项目合格；检验项目中任一项或一项以上不符合，判定为被抽查产品不合格。</w:t>
      </w:r>
    </w:p>
    <w:p>
      <w:pPr>
        <w:keepNext w:val="0"/>
        <w:keepLines w:val="0"/>
        <w:pageBreakBefore w:val="0"/>
        <w:kinsoku/>
        <w:wordWrap/>
        <w:overflowPunct/>
        <w:topLinePunct w:val="0"/>
        <w:bidi w:val="0"/>
        <w:adjustRightInd w:val="0"/>
        <w:snapToGrid w:val="0"/>
        <w:spacing w:line="440" w:lineRule="exact"/>
        <w:ind w:firstLine="417" w:firstLineChars="199"/>
        <w:jc w:val="left"/>
        <w:textAlignment w:val="auto"/>
        <w:rPr>
          <w:rFonts w:ascii="仿宋_GB2312" w:eastAsia="仿宋_GB2312"/>
          <w:color w:val="000000"/>
          <w:sz w:val="21"/>
          <w:szCs w:val="21"/>
        </w:rPr>
      </w:pPr>
      <w:r>
        <w:rPr>
          <w:rFonts w:hint="eastAsia" w:ascii="仿宋_GB2312" w:eastAsia="仿宋_GB2312"/>
          <w:color w:val="000000"/>
          <w:sz w:val="21"/>
          <w:szCs w:val="21"/>
        </w:rPr>
        <w:t>若被检产品明示的质量要求高于本细则中检验项目依据的标准要求时，应按被检产品明示的质量要求判定。</w:t>
      </w:r>
    </w:p>
    <w:p>
      <w:pPr>
        <w:keepNext w:val="0"/>
        <w:keepLines w:val="0"/>
        <w:pageBreakBefore w:val="0"/>
        <w:kinsoku/>
        <w:wordWrap/>
        <w:overflowPunct/>
        <w:topLinePunct w:val="0"/>
        <w:bidi w:val="0"/>
        <w:adjustRightInd w:val="0"/>
        <w:snapToGrid w:val="0"/>
        <w:spacing w:line="440" w:lineRule="exact"/>
        <w:ind w:firstLine="417" w:firstLineChars="199"/>
        <w:jc w:val="left"/>
        <w:textAlignment w:val="auto"/>
        <w:rPr>
          <w:rFonts w:ascii="仿宋_GB2312" w:eastAsia="仿宋_GB2312"/>
          <w:color w:val="000000"/>
          <w:sz w:val="21"/>
          <w:szCs w:val="21"/>
        </w:rPr>
      </w:pPr>
      <w:r>
        <w:rPr>
          <w:rFonts w:hint="eastAsia" w:ascii="仿宋_GB2312" w:eastAsia="仿宋_GB2312"/>
          <w:color w:val="000000"/>
          <w:sz w:val="21"/>
          <w:szCs w:val="21"/>
        </w:rPr>
        <w:t>若被检产品明示的质量要求低于本细则中检验项目依据的强制性标准要求时，应按照强制性标准要求判定。</w:t>
      </w:r>
    </w:p>
    <w:p>
      <w:pPr>
        <w:keepNext w:val="0"/>
        <w:keepLines w:val="0"/>
        <w:pageBreakBefore w:val="0"/>
        <w:kinsoku/>
        <w:wordWrap/>
        <w:overflowPunct/>
        <w:topLinePunct w:val="0"/>
        <w:bidi w:val="0"/>
        <w:adjustRightInd w:val="0"/>
        <w:snapToGrid w:val="0"/>
        <w:spacing w:line="440" w:lineRule="exact"/>
        <w:ind w:firstLine="417" w:firstLineChars="199"/>
        <w:jc w:val="left"/>
        <w:textAlignment w:val="auto"/>
        <w:rPr>
          <w:rFonts w:ascii="仿宋_GB2312" w:eastAsia="仿宋_GB2312"/>
          <w:color w:val="000000"/>
          <w:sz w:val="21"/>
          <w:szCs w:val="21"/>
        </w:rPr>
      </w:pPr>
      <w:r>
        <w:rPr>
          <w:rFonts w:hint="eastAsia" w:ascii="仿宋_GB2312" w:eastAsia="仿宋_GB2312"/>
          <w:color w:val="000000"/>
          <w:sz w:val="21"/>
          <w:szCs w:val="21"/>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bidi w:val="0"/>
        <w:adjustRightInd w:val="0"/>
        <w:snapToGrid w:val="0"/>
        <w:spacing w:line="440" w:lineRule="exact"/>
        <w:ind w:firstLine="417" w:firstLineChars="199"/>
        <w:jc w:val="left"/>
        <w:textAlignment w:val="auto"/>
        <w:rPr>
          <w:rFonts w:ascii="仿宋_GB2312" w:eastAsia="仿宋_GB2312"/>
          <w:color w:val="000000"/>
          <w:sz w:val="21"/>
          <w:szCs w:val="21"/>
        </w:rPr>
      </w:pPr>
      <w:r>
        <w:rPr>
          <w:rFonts w:hint="eastAsia" w:ascii="仿宋_GB2312" w:eastAsia="仿宋_GB2312"/>
          <w:color w:val="000000"/>
          <w:sz w:val="21"/>
          <w:szCs w:val="21"/>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val="0"/>
        <w:autoSpaceDN w:val="0"/>
        <w:bidi w:val="0"/>
        <w:adjustRightInd w:val="0"/>
        <w:spacing w:line="440" w:lineRule="exact"/>
        <w:ind w:firstLine="420" w:firstLineChars="200"/>
        <w:jc w:val="left"/>
        <w:textAlignment w:val="auto"/>
        <w:rPr>
          <w:rFonts w:ascii="仿宋_GB2312" w:hAnsi="仿宋_GB2312" w:eastAsia="仿宋_GB2312"/>
          <w:b/>
          <w:bCs/>
          <w:sz w:val="32"/>
          <w:szCs w:val="32"/>
        </w:rPr>
      </w:pPr>
      <w:r>
        <w:rPr>
          <w:rFonts w:hint="eastAsia" w:ascii="仿宋_GB2312" w:eastAsia="仿宋_GB2312"/>
          <w:color w:val="000000"/>
          <w:sz w:val="21"/>
          <w:szCs w:val="21"/>
        </w:rPr>
        <w:t>若被检产品明示的质量要求缺少本细则中检验项目依据的推荐性标准要求时，该项目不参与判定。</w:t>
      </w:r>
    </w:p>
    <w:p>
      <w:pPr>
        <w:autoSpaceDE w:val="0"/>
        <w:autoSpaceDN w:val="0"/>
        <w:adjustRightInd w:val="0"/>
        <w:spacing w:line="640" w:lineRule="exact"/>
        <w:ind w:firstLine="640" w:firstLineChars="200"/>
        <w:rPr>
          <w:rFonts w:eastAsia="仿宋_GB2312"/>
          <w:color w:val="000000"/>
          <w:sz w:val="32"/>
          <w:szCs w:val="32"/>
        </w:rPr>
      </w:pPr>
      <w:bookmarkStart w:id="0" w:name="_GoBack"/>
      <w:bookmarkEnd w:id="0"/>
    </w:p>
    <w:sectPr>
      <w:footerReference r:id="rId3" w:type="default"/>
      <w:pgSz w:w="11906" w:h="16838"/>
      <w:pgMar w:top="1440" w:right="1800" w:bottom="993"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0000000000000000000"/>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4</w:t>
    </w:r>
    <w:r>
      <w:rPr>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9B72B5"/>
    <w:rsid w:val="00012DBA"/>
    <w:rsid w:val="0001383D"/>
    <w:rsid w:val="000315DA"/>
    <w:rsid w:val="00031B75"/>
    <w:rsid w:val="00037224"/>
    <w:rsid w:val="00043B04"/>
    <w:rsid w:val="0005519F"/>
    <w:rsid w:val="00077663"/>
    <w:rsid w:val="00082E29"/>
    <w:rsid w:val="000907C4"/>
    <w:rsid w:val="000A0A64"/>
    <w:rsid w:val="000A3C87"/>
    <w:rsid w:val="000B61C2"/>
    <w:rsid w:val="000C1E95"/>
    <w:rsid w:val="00100162"/>
    <w:rsid w:val="0010334A"/>
    <w:rsid w:val="00123ACA"/>
    <w:rsid w:val="00127E69"/>
    <w:rsid w:val="001320E2"/>
    <w:rsid w:val="0017675C"/>
    <w:rsid w:val="00182C14"/>
    <w:rsid w:val="00192D7A"/>
    <w:rsid w:val="001D5DE8"/>
    <w:rsid w:val="001F60BD"/>
    <w:rsid w:val="001F7502"/>
    <w:rsid w:val="00214931"/>
    <w:rsid w:val="0021585A"/>
    <w:rsid w:val="00222117"/>
    <w:rsid w:val="00222552"/>
    <w:rsid w:val="00241468"/>
    <w:rsid w:val="00265D57"/>
    <w:rsid w:val="00285A7B"/>
    <w:rsid w:val="002A3B70"/>
    <w:rsid w:val="002A77BA"/>
    <w:rsid w:val="002C04F8"/>
    <w:rsid w:val="002D255A"/>
    <w:rsid w:val="002F3A60"/>
    <w:rsid w:val="002F4F16"/>
    <w:rsid w:val="00300AE1"/>
    <w:rsid w:val="00305C88"/>
    <w:rsid w:val="0031776D"/>
    <w:rsid w:val="003240A5"/>
    <w:rsid w:val="00342BB7"/>
    <w:rsid w:val="0035639D"/>
    <w:rsid w:val="00367525"/>
    <w:rsid w:val="00374CAC"/>
    <w:rsid w:val="00377732"/>
    <w:rsid w:val="00380715"/>
    <w:rsid w:val="003811D0"/>
    <w:rsid w:val="0039411D"/>
    <w:rsid w:val="003C6E23"/>
    <w:rsid w:val="003D48EE"/>
    <w:rsid w:val="003E63C2"/>
    <w:rsid w:val="003F64CE"/>
    <w:rsid w:val="00401218"/>
    <w:rsid w:val="0042031A"/>
    <w:rsid w:val="00430DAB"/>
    <w:rsid w:val="00436CA4"/>
    <w:rsid w:val="00447C85"/>
    <w:rsid w:val="00450FCC"/>
    <w:rsid w:val="0046360A"/>
    <w:rsid w:val="004767A9"/>
    <w:rsid w:val="00482241"/>
    <w:rsid w:val="00507E10"/>
    <w:rsid w:val="00525E17"/>
    <w:rsid w:val="00525F5E"/>
    <w:rsid w:val="00560329"/>
    <w:rsid w:val="00572DD1"/>
    <w:rsid w:val="00586899"/>
    <w:rsid w:val="005B0249"/>
    <w:rsid w:val="005D2100"/>
    <w:rsid w:val="005E38C4"/>
    <w:rsid w:val="005E445B"/>
    <w:rsid w:val="005F1799"/>
    <w:rsid w:val="00603E36"/>
    <w:rsid w:val="006047E9"/>
    <w:rsid w:val="006048CF"/>
    <w:rsid w:val="00624556"/>
    <w:rsid w:val="00632337"/>
    <w:rsid w:val="00643CFA"/>
    <w:rsid w:val="00653C3F"/>
    <w:rsid w:val="006810E9"/>
    <w:rsid w:val="00681B70"/>
    <w:rsid w:val="00683789"/>
    <w:rsid w:val="006A4142"/>
    <w:rsid w:val="006A7963"/>
    <w:rsid w:val="006A7E12"/>
    <w:rsid w:val="006B1729"/>
    <w:rsid w:val="006B38AA"/>
    <w:rsid w:val="006C5547"/>
    <w:rsid w:val="006D325A"/>
    <w:rsid w:val="006E0D93"/>
    <w:rsid w:val="006E2A33"/>
    <w:rsid w:val="006E52F1"/>
    <w:rsid w:val="006F6856"/>
    <w:rsid w:val="00703962"/>
    <w:rsid w:val="0070442B"/>
    <w:rsid w:val="00706F6B"/>
    <w:rsid w:val="007106C3"/>
    <w:rsid w:val="00713955"/>
    <w:rsid w:val="007217D6"/>
    <w:rsid w:val="007264C2"/>
    <w:rsid w:val="007346DD"/>
    <w:rsid w:val="00734BD3"/>
    <w:rsid w:val="0074539D"/>
    <w:rsid w:val="00745443"/>
    <w:rsid w:val="00763680"/>
    <w:rsid w:val="007824A1"/>
    <w:rsid w:val="00782E63"/>
    <w:rsid w:val="00785E16"/>
    <w:rsid w:val="0078631B"/>
    <w:rsid w:val="00792A66"/>
    <w:rsid w:val="00794F6C"/>
    <w:rsid w:val="007E5F27"/>
    <w:rsid w:val="008248A3"/>
    <w:rsid w:val="00824E93"/>
    <w:rsid w:val="0082647E"/>
    <w:rsid w:val="00827BA4"/>
    <w:rsid w:val="008419F5"/>
    <w:rsid w:val="00853AC6"/>
    <w:rsid w:val="00855E20"/>
    <w:rsid w:val="008606AB"/>
    <w:rsid w:val="00865DBF"/>
    <w:rsid w:val="00874FCE"/>
    <w:rsid w:val="00890C41"/>
    <w:rsid w:val="008954C6"/>
    <w:rsid w:val="008A1A9F"/>
    <w:rsid w:val="008B6ABE"/>
    <w:rsid w:val="008D2206"/>
    <w:rsid w:val="008E4023"/>
    <w:rsid w:val="008F0FA8"/>
    <w:rsid w:val="00905593"/>
    <w:rsid w:val="009124BE"/>
    <w:rsid w:val="00961A68"/>
    <w:rsid w:val="009725CC"/>
    <w:rsid w:val="009775A9"/>
    <w:rsid w:val="00985121"/>
    <w:rsid w:val="009B1AFA"/>
    <w:rsid w:val="009B72B5"/>
    <w:rsid w:val="009D7325"/>
    <w:rsid w:val="009F52FA"/>
    <w:rsid w:val="00A052FC"/>
    <w:rsid w:val="00A05DED"/>
    <w:rsid w:val="00A44CE6"/>
    <w:rsid w:val="00A47375"/>
    <w:rsid w:val="00A51236"/>
    <w:rsid w:val="00A65EBE"/>
    <w:rsid w:val="00A87BEE"/>
    <w:rsid w:val="00A904A9"/>
    <w:rsid w:val="00A95202"/>
    <w:rsid w:val="00AA265B"/>
    <w:rsid w:val="00AB7F63"/>
    <w:rsid w:val="00AB7F6B"/>
    <w:rsid w:val="00AD64B3"/>
    <w:rsid w:val="00AE0D67"/>
    <w:rsid w:val="00AE288A"/>
    <w:rsid w:val="00B02606"/>
    <w:rsid w:val="00B22DB2"/>
    <w:rsid w:val="00B37799"/>
    <w:rsid w:val="00B521A8"/>
    <w:rsid w:val="00B537B7"/>
    <w:rsid w:val="00B5682E"/>
    <w:rsid w:val="00B702CF"/>
    <w:rsid w:val="00B71DFC"/>
    <w:rsid w:val="00B74AF2"/>
    <w:rsid w:val="00B8109E"/>
    <w:rsid w:val="00BA0DDC"/>
    <w:rsid w:val="00BC1F33"/>
    <w:rsid w:val="00BC3BEA"/>
    <w:rsid w:val="00BC6773"/>
    <w:rsid w:val="00BD0F0C"/>
    <w:rsid w:val="00BD3DBE"/>
    <w:rsid w:val="00C07B86"/>
    <w:rsid w:val="00C142AA"/>
    <w:rsid w:val="00C15051"/>
    <w:rsid w:val="00C36173"/>
    <w:rsid w:val="00C362F7"/>
    <w:rsid w:val="00C4339D"/>
    <w:rsid w:val="00C4730E"/>
    <w:rsid w:val="00C55663"/>
    <w:rsid w:val="00C55E1E"/>
    <w:rsid w:val="00C81DBE"/>
    <w:rsid w:val="00CA0854"/>
    <w:rsid w:val="00CD1C80"/>
    <w:rsid w:val="00CD1CBF"/>
    <w:rsid w:val="00CD1DC5"/>
    <w:rsid w:val="00CE1314"/>
    <w:rsid w:val="00D00440"/>
    <w:rsid w:val="00D05EE9"/>
    <w:rsid w:val="00D070F3"/>
    <w:rsid w:val="00D17590"/>
    <w:rsid w:val="00D23CC4"/>
    <w:rsid w:val="00D42844"/>
    <w:rsid w:val="00D708DD"/>
    <w:rsid w:val="00DA402A"/>
    <w:rsid w:val="00DB07F9"/>
    <w:rsid w:val="00DB661A"/>
    <w:rsid w:val="00DD12A5"/>
    <w:rsid w:val="00DE3AC0"/>
    <w:rsid w:val="00DE7117"/>
    <w:rsid w:val="00DF4CB1"/>
    <w:rsid w:val="00E1422E"/>
    <w:rsid w:val="00E468BC"/>
    <w:rsid w:val="00E47739"/>
    <w:rsid w:val="00E53D0D"/>
    <w:rsid w:val="00E60CC1"/>
    <w:rsid w:val="00E627BD"/>
    <w:rsid w:val="00E65747"/>
    <w:rsid w:val="00E65EEF"/>
    <w:rsid w:val="00E774B4"/>
    <w:rsid w:val="00E903A9"/>
    <w:rsid w:val="00E96DAA"/>
    <w:rsid w:val="00EA1C3C"/>
    <w:rsid w:val="00EA607A"/>
    <w:rsid w:val="00ED25C4"/>
    <w:rsid w:val="00EF5C6E"/>
    <w:rsid w:val="00EF5F02"/>
    <w:rsid w:val="00F0136E"/>
    <w:rsid w:val="00F0144B"/>
    <w:rsid w:val="00F0514A"/>
    <w:rsid w:val="00F063C1"/>
    <w:rsid w:val="00F155F9"/>
    <w:rsid w:val="00F173E0"/>
    <w:rsid w:val="00F42C79"/>
    <w:rsid w:val="00F43A6B"/>
    <w:rsid w:val="00F75F14"/>
    <w:rsid w:val="00F77F63"/>
    <w:rsid w:val="00F97C39"/>
    <w:rsid w:val="00FA0296"/>
    <w:rsid w:val="00FA545E"/>
    <w:rsid w:val="00FB5180"/>
    <w:rsid w:val="00FC0C30"/>
    <w:rsid w:val="00FC1B2F"/>
    <w:rsid w:val="00FC3CA0"/>
    <w:rsid w:val="00FD226B"/>
    <w:rsid w:val="00FD4AA3"/>
    <w:rsid w:val="00FE09F9"/>
    <w:rsid w:val="00FE4864"/>
    <w:rsid w:val="00FF7E2F"/>
    <w:rsid w:val="05354C42"/>
    <w:rsid w:val="05FA263B"/>
    <w:rsid w:val="06417750"/>
    <w:rsid w:val="0C0B1AE4"/>
    <w:rsid w:val="0C6E7E27"/>
    <w:rsid w:val="13234273"/>
    <w:rsid w:val="269369D6"/>
    <w:rsid w:val="2A4A0267"/>
    <w:rsid w:val="2AD50288"/>
    <w:rsid w:val="32AF50C3"/>
    <w:rsid w:val="32DA39EA"/>
    <w:rsid w:val="402D4422"/>
    <w:rsid w:val="43832B76"/>
    <w:rsid w:val="477F5A8B"/>
    <w:rsid w:val="4DAC0F14"/>
    <w:rsid w:val="5DC12742"/>
    <w:rsid w:val="61D63E67"/>
    <w:rsid w:val="67A04AC7"/>
    <w:rsid w:val="698976BF"/>
    <w:rsid w:val="73DD1243"/>
    <w:rsid w:val="76205A2E"/>
    <w:rsid w:val="77C54158"/>
    <w:rsid w:val="7BB246E2"/>
    <w:rsid w:val="7DADAB71"/>
    <w:rsid w:val="7F304912"/>
    <w:rsid w:val="D55F05E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locked/>
    <w:uiPriority w:val="99"/>
    <w:pPr>
      <w:spacing w:before="0" w:beforeAutospacing="1" w:after="0" w:afterAutospacing="1"/>
      <w:ind w:left="0" w:right="0"/>
      <w:jc w:val="left"/>
    </w:pPr>
    <w:rPr>
      <w:kern w:val="0"/>
      <w:sz w:val="24"/>
      <w:lang w:val="en-US" w:eastAsia="zh-CN" w:bidi="ar"/>
    </w:rPr>
  </w:style>
  <w:style w:type="table" w:styleId="7">
    <w:name w:val="Table Grid"/>
    <w:basedOn w:val="6"/>
    <w:qFormat/>
    <w:locked/>
    <w:uiPriority w:val="99"/>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日期 Char"/>
    <w:basedOn w:val="8"/>
    <w:link w:val="2"/>
    <w:semiHidden/>
    <w:qFormat/>
    <w:locked/>
    <w:uiPriority w:val="99"/>
    <w:rPr>
      <w:rFonts w:ascii="Times New Roman" w:hAnsi="Times New Roman" w:cs="Times New Roman"/>
    </w:rPr>
  </w:style>
  <w:style w:type="character" w:customStyle="1" w:styleId="10">
    <w:name w:val="页脚 Char"/>
    <w:basedOn w:val="8"/>
    <w:link w:val="3"/>
    <w:qFormat/>
    <w:locked/>
    <w:uiPriority w:val="99"/>
    <w:rPr>
      <w:rFonts w:ascii="Times New Roman" w:hAnsi="Times New Roman" w:cs="Times New Roman"/>
      <w:sz w:val="18"/>
      <w:szCs w:val="18"/>
    </w:rPr>
  </w:style>
  <w:style w:type="character" w:customStyle="1" w:styleId="11">
    <w:name w:val="页眉 Char"/>
    <w:basedOn w:val="8"/>
    <w:link w:val="4"/>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jinhu.me</Company>
  <Pages>5</Pages>
  <Words>258</Words>
  <Characters>1475</Characters>
  <Lines>12</Lines>
  <Paragraphs>3</Paragraphs>
  <TotalTime>4</TotalTime>
  <ScaleCrop>false</ScaleCrop>
  <LinksUpToDate>false</LinksUpToDate>
  <CharactersWithSpaces>1730</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2024-01-09T00:16:00Z</dcterms:created>
  <dc:creator>Administrator</dc:creator>
  <cp:lastModifiedBy>scj</cp:lastModifiedBy>
  <cp:lastPrinted>2023-02-08T22:55:00Z</cp:lastPrinted>
  <dcterms:modified xsi:type="dcterms:W3CDTF">2024-01-10T06:12:10Z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4256B23264147E4CAFC39D65DC297956</vt:lpwstr>
  </property>
</Properties>
</file>