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车用柴油产品质量焦作市监督抽查实施细则</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（2024年版）</w:t>
      </w:r>
    </w:p>
    <w:p>
      <w:pPr>
        <w:bidi w:val="0"/>
        <w:jc w:val="center"/>
        <w:rPr>
          <w:rFonts w:hint="eastAsia" w:ascii="宋体" w:hAnsi="宋体" w:eastAsia="宋体" w:cs="宋体"/>
          <w:b/>
          <w:bCs/>
          <w:sz w:val="32"/>
          <w:szCs w:val="32"/>
        </w:rPr>
      </w:pPr>
    </w:p>
    <w:p>
      <w:pPr>
        <w:keepNext w:val="0"/>
        <w:keepLines w:val="0"/>
        <w:pageBreakBefore w:val="0"/>
        <w:kinsoku/>
        <w:wordWrap/>
        <w:overflowPunct/>
        <w:topLinePunct w:val="0"/>
        <w:autoSpaceDE/>
        <w:autoSpaceDN/>
        <w:bidi w:val="0"/>
        <w:spacing w:line="44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本细则适用焦作市市场监督管理局组织的车用柴油产品质量监督抽查。本细则规定了此产品的抽样方法、检验依据、检验项目、 检验方法、判定原则等</w:t>
      </w:r>
    </w:p>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bCs/>
          <w:sz w:val="21"/>
          <w:szCs w:val="21"/>
        </w:rPr>
      </w:pPr>
      <w:r>
        <w:rPr>
          <w:rFonts w:hint="eastAsia" w:ascii="宋体" w:hAnsi="宋体" w:eastAsia="宋体" w:cs="宋体"/>
          <w:b/>
          <w:bCs/>
          <w:sz w:val="21"/>
          <w:szCs w:val="21"/>
          <w:lang w:val="en-US" w:eastAsia="zh-CN"/>
        </w:rPr>
        <w:t xml:space="preserve">1.抽样方法 </w:t>
      </w:r>
    </w:p>
    <w:p>
      <w:pPr>
        <w:keepNext w:val="0"/>
        <w:keepLines w:val="0"/>
        <w:pageBreakBefore w:val="0"/>
        <w:kinsoku/>
        <w:wordWrap/>
        <w:overflowPunct/>
        <w:topLinePunct w:val="0"/>
        <w:autoSpaceDE/>
        <w:autoSpaceDN/>
        <w:bidi w:val="0"/>
        <w:spacing w:line="44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 xml:space="preserve">以随机抽样方式在被抽样生产者、销售者的待销产品中抽取。随机数一般可使用随机数表、随机数骰子或扑克牌等方法产生。 </w:t>
      </w:r>
    </w:p>
    <w:tbl>
      <w:tblPr>
        <w:tblStyle w:val="7"/>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
        <w:gridCol w:w="2188"/>
        <w:gridCol w:w="2137"/>
        <w:gridCol w:w="2100"/>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0" w:type="dxa"/>
            <w:vAlign w:val="center"/>
          </w:tcPr>
          <w:p>
            <w:pPr>
              <w:keepNext w:val="0"/>
              <w:keepLines w:val="0"/>
              <w:pageBreakBefore w:val="0"/>
              <w:kinsoku/>
              <w:wordWrap/>
              <w:overflowPunct/>
              <w:topLinePunct w:val="0"/>
              <w:autoSpaceDE/>
              <w:autoSpaceDN/>
              <w:bidi w:val="0"/>
              <w:spacing w:line="440" w:lineRule="exact"/>
              <w:jc w:val="left"/>
              <w:rPr>
                <w:sz w:val="21"/>
                <w:szCs w:val="21"/>
              </w:rPr>
            </w:pPr>
            <w:r>
              <w:rPr>
                <w:sz w:val="21"/>
                <w:szCs w:val="21"/>
                <w:lang w:val="en-US" w:eastAsia="zh-CN"/>
              </w:rPr>
              <w:t>序号</w:t>
            </w:r>
          </w:p>
        </w:tc>
        <w:tc>
          <w:tcPr>
            <w:tcW w:w="2188" w:type="dxa"/>
            <w:vAlign w:val="center"/>
          </w:tcPr>
          <w:p>
            <w:pPr>
              <w:keepNext w:val="0"/>
              <w:keepLines w:val="0"/>
              <w:pageBreakBefore w:val="0"/>
              <w:kinsoku/>
              <w:wordWrap/>
              <w:overflowPunct/>
              <w:topLinePunct w:val="0"/>
              <w:autoSpaceDE/>
              <w:autoSpaceDN/>
              <w:bidi w:val="0"/>
              <w:spacing w:line="440" w:lineRule="exact"/>
              <w:jc w:val="left"/>
              <w:rPr>
                <w:sz w:val="21"/>
                <w:szCs w:val="21"/>
              </w:rPr>
            </w:pPr>
            <w:r>
              <w:rPr>
                <w:sz w:val="21"/>
                <w:szCs w:val="21"/>
                <w:lang w:val="en-US" w:eastAsia="zh-CN"/>
              </w:rPr>
              <w:t>产品种类</w:t>
            </w:r>
          </w:p>
        </w:tc>
        <w:tc>
          <w:tcPr>
            <w:tcW w:w="2137" w:type="dxa"/>
            <w:vAlign w:val="center"/>
          </w:tcPr>
          <w:p>
            <w:pPr>
              <w:keepNext w:val="0"/>
              <w:keepLines w:val="0"/>
              <w:pageBreakBefore w:val="0"/>
              <w:kinsoku/>
              <w:wordWrap/>
              <w:overflowPunct/>
              <w:topLinePunct w:val="0"/>
              <w:autoSpaceDE/>
              <w:autoSpaceDN/>
              <w:bidi w:val="0"/>
              <w:spacing w:line="440" w:lineRule="exact"/>
              <w:jc w:val="left"/>
              <w:rPr>
                <w:sz w:val="21"/>
                <w:szCs w:val="21"/>
                <w:lang w:val="en-US" w:eastAsia="zh-CN"/>
              </w:rPr>
            </w:pPr>
            <w:r>
              <w:rPr>
                <w:sz w:val="21"/>
                <w:szCs w:val="21"/>
                <w:lang w:val="en-US" w:eastAsia="zh-CN"/>
              </w:rPr>
              <w:t>抽样数量</w:t>
            </w:r>
          </w:p>
          <w:p>
            <w:pPr>
              <w:keepNext w:val="0"/>
              <w:keepLines w:val="0"/>
              <w:pageBreakBefore w:val="0"/>
              <w:kinsoku/>
              <w:wordWrap/>
              <w:overflowPunct/>
              <w:topLinePunct w:val="0"/>
              <w:autoSpaceDE/>
              <w:autoSpaceDN/>
              <w:bidi w:val="0"/>
              <w:spacing w:line="440" w:lineRule="exact"/>
              <w:jc w:val="left"/>
              <w:rPr>
                <w:sz w:val="21"/>
                <w:szCs w:val="21"/>
              </w:rPr>
            </w:pPr>
            <w:r>
              <w:rPr>
                <w:sz w:val="21"/>
                <w:szCs w:val="21"/>
                <w:lang w:val="en-US" w:eastAsia="zh-CN"/>
              </w:rPr>
              <w:t>（L）</w:t>
            </w:r>
          </w:p>
        </w:tc>
        <w:tc>
          <w:tcPr>
            <w:tcW w:w="2100" w:type="dxa"/>
            <w:vAlign w:val="center"/>
          </w:tcPr>
          <w:p>
            <w:pPr>
              <w:keepNext w:val="0"/>
              <w:keepLines w:val="0"/>
              <w:pageBreakBefore w:val="0"/>
              <w:kinsoku/>
              <w:wordWrap/>
              <w:overflowPunct/>
              <w:topLinePunct w:val="0"/>
              <w:autoSpaceDE/>
              <w:autoSpaceDN/>
              <w:bidi w:val="0"/>
              <w:spacing w:line="440" w:lineRule="exact"/>
              <w:jc w:val="left"/>
              <w:rPr>
                <w:sz w:val="21"/>
                <w:szCs w:val="21"/>
              </w:rPr>
            </w:pPr>
            <w:r>
              <w:rPr>
                <w:sz w:val="21"/>
                <w:szCs w:val="21"/>
                <w:lang w:val="en-US" w:eastAsia="zh-CN"/>
              </w:rPr>
              <w:t>检验样品数量</w:t>
            </w:r>
          </w:p>
          <w:p>
            <w:pPr>
              <w:keepNext w:val="0"/>
              <w:keepLines w:val="0"/>
              <w:pageBreakBefore w:val="0"/>
              <w:kinsoku/>
              <w:wordWrap/>
              <w:overflowPunct/>
              <w:topLinePunct w:val="0"/>
              <w:autoSpaceDE/>
              <w:autoSpaceDN/>
              <w:bidi w:val="0"/>
              <w:spacing w:line="440" w:lineRule="exact"/>
              <w:jc w:val="left"/>
              <w:rPr>
                <w:sz w:val="21"/>
                <w:szCs w:val="21"/>
              </w:rPr>
            </w:pPr>
            <w:r>
              <w:rPr>
                <w:sz w:val="21"/>
                <w:szCs w:val="21"/>
                <w:lang w:val="en-US" w:eastAsia="zh-CN"/>
              </w:rPr>
              <w:t>（L）</w:t>
            </w:r>
          </w:p>
        </w:tc>
        <w:tc>
          <w:tcPr>
            <w:tcW w:w="1525" w:type="dxa"/>
            <w:vAlign w:val="center"/>
          </w:tcPr>
          <w:p>
            <w:pPr>
              <w:keepNext w:val="0"/>
              <w:keepLines w:val="0"/>
              <w:pageBreakBefore w:val="0"/>
              <w:kinsoku/>
              <w:wordWrap/>
              <w:overflowPunct/>
              <w:topLinePunct w:val="0"/>
              <w:autoSpaceDE/>
              <w:autoSpaceDN/>
              <w:bidi w:val="0"/>
              <w:spacing w:line="440" w:lineRule="exact"/>
              <w:jc w:val="left"/>
              <w:rPr>
                <w:sz w:val="21"/>
                <w:szCs w:val="21"/>
              </w:rPr>
            </w:pPr>
            <w:r>
              <w:rPr>
                <w:sz w:val="21"/>
                <w:szCs w:val="21"/>
                <w:lang w:val="en-US" w:eastAsia="zh-CN"/>
              </w:rPr>
              <w:t>备用样品数量</w:t>
            </w:r>
          </w:p>
          <w:p>
            <w:pPr>
              <w:keepNext w:val="0"/>
              <w:keepLines w:val="0"/>
              <w:pageBreakBefore w:val="0"/>
              <w:kinsoku/>
              <w:wordWrap/>
              <w:overflowPunct/>
              <w:topLinePunct w:val="0"/>
              <w:autoSpaceDE/>
              <w:autoSpaceDN/>
              <w:bidi w:val="0"/>
              <w:spacing w:line="440" w:lineRule="exact"/>
              <w:jc w:val="left"/>
              <w:rPr>
                <w:sz w:val="21"/>
                <w:szCs w:val="21"/>
              </w:rPr>
            </w:pPr>
            <w:r>
              <w:rPr>
                <w:sz w:val="21"/>
                <w:szCs w:val="21"/>
                <w:lang w:val="en-US" w:eastAsia="zh-CN"/>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0"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188"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车用柴油</w:t>
            </w:r>
          </w:p>
        </w:tc>
        <w:tc>
          <w:tcPr>
            <w:tcW w:w="2137" w:type="dxa"/>
            <w:vAlign w:val="center"/>
          </w:tcPr>
          <w:p>
            <w:pPr>
              <w:keepNext w:val="0"/>
              <w:keepLines w:val="0"/>
              <w:pageBreakBefore w:val="0"/>
              <w:kinsoku/>
              <w:wordWrap/>
              <w:overflowPunct/>
              <w:topLinePunct w:val="0"/>
              <w:autoSpaceDE/>
              <w:autoSpaceDN/>
              <w:bidi w:val="0"/>
              <w:spacing w:line="440" w:lineRule="exact"/>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2100" w:type="dxa"/>
            <w:vAlign w:val="center"/>
          </w:tcPr>
          <w:p>
            <w:pPr>
              <w:keepNext w:val="0"/>
              <w:keepLines w:val="0"/>
              <w:pageBreakBefore w:val="0"/>
              <w:kinsoku/>
              <w:wordWrap/>
              <w:overflowPunct/>
              <w:topLinePunct w:val="0"/>
              <w:autoSpaceDE/>
              <w:autoSpaceDN/>
              <w:bidi w:val="0"/>
              <w:spacing w:line="440" w:lineRule="exact"/>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525"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r>
    </w:tbl>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bCs/>
          <w:sz w:val="21"/>
          <w:szCs w:val="21"/>
          <w:lang w:val="en-US" w:eastAsia="zh-CN"/>
        </w:rPr>
      </w:pPr>
    </w:p>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sz w:val="21"/>
          <w:szCs w:val="21"/>
        </w:rPr>
      </w:pPr>
      <w:r>
        <w:rPr>
          <w:rFonts w:hint="eastAsia" w:ascii="宋体" w:hAnsi="宋体" w:eastAsia="宋体" w:cs="宋体"/>
          <w:b/>
          <w:bCs/>
          <w:sz w:val="21"/>
          <w:szCs w:val="21"/>
          <w:lang w:val="en-US" w:eastAsia="zh-CN"/>
        </w:rPr>
        <w:t>2.检验依据</w:t>
      </w:r>
      <w:r>
        <w:rPr>
          <w:rFonts w:hint="eastAsia" w:ascii="宋体" w:hAnsi="宋体" w:eastAsia="宋体" w:cs="宋体"/>
          <w:sz w:val="21"/>
          <w:szCs w:val="21"/>
          <w:lang w:val="en-US" w:eastAsia="zh-CN"/>
        </w:rPr>
        <w:t xml:space="preserve">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4350"/>
        <w:gridCol w:w="4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eastAsia"/>
                <w:b/>
                <w:bCs/>
                <w:sz w:val="21"/>
                <w:szCs w:val="21"/>
              </w:rPr>
            </w:pPr>
            <w:r>
              <w:rPr>
                <w:b/>
                <w:bCs/>
                <w:sz w:val="21"/>
                <w:szCs w:val="21"/>
                <w:lang w:val="en-US" w:eastAsia="zh-CN"/>
              </w:rPr>
              <w:t>序号</w:t>
            </w:r>
          </w:p>
        </w:tc>
        <w:tc>
          <w:tcPr>
            <w:tcW w:w="4350" w:type="dxa"/>
            <w:vAlign w:val="center"/>
          </w:tcPr>
          <w:p>
            <w:pPr>
              <w:keepNext w:val="0"/>
              <w:keepLines w:val="0"/>
              <w:pageBreakBefore w:val="0"/>
              <w:kinsoku/>
              <w:wordWrap/>
              <w:overflowPunct/>
              <w:topLinePunct w:val="0"/>
              <w:autoSpaceDE/>
              <w:autoSpaceDN/>
              <w:bidi w:val="0"/>
              <w:spacing w:line="440" w:lineRule="exact"/>
              <w:jc w:val="left"/>
              <w:rPr>
                <w:rFonts w:hint="eastAsia"/>
                <w:b/>
                <w:bCs/>
                <w:sz w:val="21"/>
                <w:szCs w:val="21"/>
              </w:rPr>
            </w:pPr>
            <w:r>
              <w:rPr>
                <w:b/>
                <w:bCs/>
                <w:sz w:val="21"/>
                <w:szCs w:val="21"/>
                <w:lang w:val="en-US" w:eastAsia="zh-CN"/>
              </w:rPr>
              <w:t>检验项目</w:t>
            </w:r>
          </w:p>
        </w:tc>
        <w:tc>
          <w:tcPr>
            <w:tcW w:w="4125" w:type="dxa"/>
            <w:vAlign w:val="center"/>
          </w:tcPr>
          <w:p>
            <w:pPr>
              <w:keepNext w:val="0"/>
              <w:keepLines w:val="0"/>
              <w:pageBreakBefore w:val="0"/>
              <w:kinsoku/>
              <w:wordWrap/>
              <w:overflowPunct/>
              <w:topLinePunct w:val="0"/>
              <w:autoSpaceDE/>
              <w:autoSpaceDN/>
              <w:bidi w:val="0"/>
              <w:spacing w:line="440" w:lineRule="exact"/>
              <w:jc w:val="left"/>
              <w:rPr>
                <w:rFonts w:hint="eastAsia"/>
                <w:b/>
                <w:bCs/>
                <w:sz w:val="21"/>
                <w:szCs w:val="21"/>
              </w:rPr>
            </w:pPr>
            <w:r>
              <w:rPr>
                <w:b/>
                <w:bCs/>
                <w:sz w:val="21"/>
                <w:szCs w:val="21"/>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硫含量</w:t>
            </w:r>
          </w:p>
        </w:tc>
        <w:tc>
          <w:tcPr>
            <w:tcW w:w="412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SH/T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0689</w:t>
            </w:r>
            <w:r>
              <w:rPr>
                <w:rFonts w:hint="eastAsia" w:ascii="宋体" w:hAnsi="宋体" w:eastAsia="宋体" w:cs="宋体"/>
                <w:sz w:val="21"/>
                <w:szCs w:val="21"/>
                <w:lang w:val="en-US" w:eastAsia="zh-CN"/>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闪点（闭口）</w:t>
            </w:r>
          </w:p>
        </w:tc>
        <w:tc>
          <w:tcPr>
            <w:tcW w:w="412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GB/T 261-2021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密度</w:t>
            </w:r>
          </w:p>
        </w:tc>
        <w:tc>
          <w:tcPr>
            <w:tcW w:w="4125" w:type="dxa"/>
            <w:vAlign w:val="center"/>
          </w:tcPr>
          <w:p>
            <w:pPr>
              <w:keepNext w:val="0"/>
              <w:keepLines w:val="0"/>
              <w:pageBreakBefore w:val="0"/>
              <w:widowControl/>
              <w:suppressLineNumbers w:val="0"/>
              <w:kinsoku/>
              <w:wordWrap/>
              <w:overflowPunct/>
              <w:topLinePunct w:val="0"/>
              <w:autoSpaceDE/>
              <w:autoSpaceDN/>
              <w:bidi w:val="0"/>
              <w:spacing w:line="440" w:lineRule="exact"/>
              <w:jc w:val="left"/>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val="en-US" w:eastAsia="zh-CN" w:bidi="ar"/>
              </w:rPr>
              <w:t>GB/T1884-2000、GB/T1885-1998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总污染物</w:t>
            </w:r>
          </w:p>
        </w:tc>
        <w:tc>
          <w:tcPr>
            <w:tcW w:w="412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GB/T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33400</w:t>
            </w:r>
            <w:r>
              <w:rPr>
                <w:rFonts w:hint="eastAsia" w:ascii="宋体" w:hAnsi="宋体" w:eastAsia="宋体" w:cs="宋体"/>
                <w:sz w:val="21"/>
                <w:szCs w:val="21"/>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馏程</w:t>
            </w:r>
          </w:p>
        </w:tc>
        <w:tc>
          <w:tcPr>
            <w:tcW w:w="4125" w:type="dxa"/>
            <w:vAlign w:val="center"/>
          </w:tcPr>
          <w:p>
            <w:pPr>
              <w:keepNext w:val="0"/>
              <w:keepLines w:val="0"/>
              <w:pageBreakBefore w:val="0"/>
              <w:widowControl/>
              <w:kinsoku/>
              <w:wordWrap/>
              <w:overflowPunct/>
              <w:topLinePunct w:val="0"/>
              <w:autoSpaceDE/>
              <w:autoSpaceDN/>
              <w:bidi w:val="0"/>
              <w:spacing w:line="440" w:lineRule="exact"/>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rPr>
              <w:t>GB/T 6536</w:t>
            </w:r>
            <w:r>
              <w:rPr>
                <w:rFonts w:hint="eastAsia" w:ascii="宋体" w:hAnsi="宋体" w:eastAsia="宋体" w:cs="宋体"/>
                <w:color w:val="000000"/>
                <w:kern w:val="0"/>
                <w:sz w:val="21"/>
                <w:szCs w:val="21"/>
                <w:lang w:val="en-US" w:eastAsia="zh-CN"/>
              </w:rPr>
              <w:t xml:space="preserve">-2010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多环芳烃含量</w:t>
            </w:r>
          </w:p>
        </w:tc>
        <w:tc>
          <w:tcPr>
            <w:tcW w:w="4125" w:type="dxa"/>
            <w:vAlign w:val="center"/>
          </w:tcPr>
          <w:p>
            <w:pPr>
              <w:keepNext w:val="0"/>
              <w:keepLines w:val="0"/>
              <w:pageBreakBefore w:val="0"/>
              <w:widowControl/>
              <w:kinsoku/>
              <w:wordWrap/>
              <w:overflowPunct/>
              <w:topLinePunct w:val="0"/>
              <w:autoSpaceDE/>
              <w:autoSpaceDN/>
              <w:bidi w:val="0"/>
              <w:spacing w:line="440" w:lineRule="exact"/>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0"/>
                <w:sz w:val="21"/>
                <w:szCs w:val="21"/>
              </w:rPr>
              <w:t>NB/SH/T 0806</w:t>
            </w:r>
            <w:r>
              <w:rPr>
                <w:rFonts w:hint="eastAsia" w:ascii="宋体" w:hAnsi="宋体" w:eastAsia="宋体" w:cs="宋体"/>
                <w:kern w:val="0"/>
                <w:sz w:val="21"/>
                <w:szCs w:val="21"/>
                <w:lang w:val="en-US" w:eastAsia="zh-CN"/>
              </w:rPr>
              <w:t xml:space="preserve">-2008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w:t>
            </w:r>
          </w:p>
        </w:tc>
        <w:tc>
          <w:tcPr>
            <w:tcW w:w="4350"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sz w:val="21"/>
                <w:szCs w:val="21"/>
              </w:rPr>
            </w:pPr>
            <w:r>
              <w:rPr>
                <w:rFonts w:hint="eastAsia" w:ascii="宋体" w:hAnsi="宋体" w:eastAsia="宋体" w:cs="宋体"/>
                <w:sz w:val="21"/>
                <w:szCs w:val="21"/>
              </w:rPr>
              <w:t>十六烷值</w:t>
            </w:r>
          </w:p>
        </w:tc>
        <w:tc>
          <w:tcPr>
            <w:tcW w:w="4125" w:type="dxa"/>
            <w:vAlign w:val="center"/>
          </w:tcPr>
          <w:p>
            <w:pPr>
              <w:keepNext w:val="0"/>
              <w:keepLines w:val="0"/>
              <w:pageBreakBefore w:val="0"/>
              <w:widowControl/>
              <w:suppressLineNumbers w:val="0"/>
              <w:kinsoku/>
              <w:wordWrap/>
              <w:overflowPunct/>
              <w:topLinePunct w:val="0"/>
              <w:autoSpaceDE/>
              <w:autoSpaceDN/>
              <w:bidi w:val="0"/>
              <w:spacing w:line="440" w:lineRule="exact"/>
              <w:jc w:val="left"/>
              <w:rPr>
                <w:rFonts w:hint="eastAsia" w:ascii="宋体" w:hAnsi="宋体" w:eastAsia="宋体" w:cs="宋体"/>
                <w:sz w:val="21"/>
                <w:szCs w:val="21"/>
                <w:lang w:val="en-US"/>
              </w:rPr>
            </w:pPr>
            <w:r>
              <w:rPr>
                <w:rFonts w:hint="eastAsia" w:ascii="宋体" w:hAnsi="宋体" w:eastAsia="宋体" w:cs="宋体"/>
                <w:color w:val="000000"/>
                <w:kern w:val="0"/>
                <w:sz w:val="21"/>
                <w:szCs w:val="21"/>
                <w:lang w:val="en-US" w:eastAsia="zh-CN" w:bidi="ar"/>
              </w:rPr>
              <w:t>GB/T 386-2021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w:t>
            </w:r>
          </w:p>
        </w:tc>
        <w:tc>
          <w:tcPr>
            <w:tcW w:w="4350"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sz w:val="21"/>
                <w:szCs w:val="21"/>
              </w:rPr>
            </w:pPr>
            <w:r>
              <w:rPr>
                <w:rFonts w:hint="eastAsia" w:ascii="宋体" w:hAnsi="宋体" w:eastAsia="宋体" w:cs="宋体"/>
                <w:sz w:val="21"/>
                <w:szCs w:val="21"/>
              </w:rPr>
              <w:t>冷滤点</w:t>
            </w:r>
          </w:p>
        </w:tc>
        <w:tc>
          <w:tcPr>
            <w:tcW w:w="4125" w:type="dxa"/>
            <w:vAlign w:val="center"/>
          </w:tcPr>
          <w:p>
            <w:pPr>
              <w:keepNext w:val="0"/>
              <w:keepLines w:val="0"/>
              <w:pageBreakBefore w:val="0"/>
              <w:widowControl/>
              <w:suppressLineNumbers w:val="0"/>
              <w:kinsoku/>
              <w:wordWrap/>
              <w:overflowPunct/>
              <w:topLinePunct w:val="0"/>
              <w:autoSpaceDE/>
              <w:autoSpaceDN/>
              <w:bidi w:val="0"/>
              <w:spacing w:line="440" w:lineRule="exact"/>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NB/SH/T 0248-2019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9</w:t>
            </w:r>
          </w:p>
        </w:tc>
        <w:tc>
          <w:tcPr>
            <w:tcW w:w="4350"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sz w:val="21"/>
                <w:szCs w:val="21"/>
              </w:rPr>
            </w:pPr>
            <w:r>
              <w:rPr>
                <w:rFonts w:hint="eastAsia" w:ascii="宋体" w:hAnsi="宋体" w:eastAsia="宋体" w:cs="宋体"/>
                <w:sz w:val="21"/>
                <w:szCs w:val="21"/>
              </w:rPr>
              <w:t>酸度</w:t>
            </w:r>
          </w:p>
        </w:tc>
        <w:tc>
          <w:tcPr>
            <w:tcW w:w="4125" w:type="dxa"/>
            <w:vAlign w:val="center"/>
          </w:tcPr>
          <w:p>
            <w:pPr>
              <w:keepNext w:val="0"/>
              <w:keepLines w:val="0"/>
              <w:pageBreakBefore w:val="0"/>
              <w:widowControl/>
              <w:suppressLineNumbers w:val="0"/>
              <w:kinsoku/>
              <w:wordWrap/>
              <w:overflowPunct/>
              <w:topLinePunct w:val="0"/>
              <w:autoSpaceDE/>
              <w:autoSpaceDN/>
              <w:bidi w:val="0"/>
              <w:spacing w:line="440" w:lineRule="exact"/>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GB/T 258-2016</w:t>
            </w:r>
          </w:p>
        </w:tc>
      </w:tr>
    </w:tbl>
    <w:p>
      <w:pPr>
        <w:keepNext w:val="0"/>
        <w:keepLines w:val="0"/>
        <w:pageBreakBefore w:val="0"/>
        <w:widowControl/>
        <w:suppressLineNumbers w:val="0"/>
        <w:kinsoku/>
        <w:wordWrap/>
        <w:overflowPunct/>
        <w:topLinePunct w:val="0"/>
        <w:autoSpaceDE/>
        <w:autoSpaceDN/>
        <w:bidi w:val="0"/>
        <w:spacing w:line="440" w:lineRule="exact"/>
        <w:ind w:firstLine="420" w:firstLineChars="200"/>
        <w:jc w:val="left"/>
        <w:rPr>
          <w:rFonts w:hint="eastAsia"/>
          <w:sz w:val="21"/>
          <w:szCs w:val="21"/>
          <w:lang w:val="en-US" w:eastAsia="zh-CN"/>
        </w:rPr>
      </w:pPr>
      <w:r>
        <w:rPr>
          <w:rFonts w:hint="eastAsia"/>
          <w:sz w:val="21"/>
          <w:szCs w:val="21"/>
          <w:lang w:val="en-US" w:eastAsia="zh-CN"/>
        </w:rPr>
        <w:t>凡是注日期的文件，其随后所有的修改单（不包括勘误的内容）或修订版不适用于本细则。凡是不注日期的文件，其最新版本适用于本细则。</w:t>
      </w:r>
    </w:p>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bCs/>
          <w:sz w:val="21"/>
          <w:szCs w:val="21"/>
          <w:lang w:val="en-US" w:eastAsia="zh-CN"/>
        </w:rPr>
      </w:pPr>
    </w:p>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bCs/>
          <w:sz w:val="21"/>
          <w:szCs w:val="21"/>
        </w:rPr>
      </w:pPr>
      <w:bookmarkStart w:id="0" w:name="_GoBack"/>
      <w:bookmarkEnd w:id="0"/>
      <w:r>
        <w:rPr>
          <w:rFonts w:hint="eastAsia" w:ascii="宋体" w:hAnsi="宋体" w:eastAsia="宋体" w:cs="宋体"/>
          <w:b/>
          <w:bCs/>
          <w:sz w:val="21"/>
          <w:szCs w:val="21"/>
          <w:lang w:val="en-US" w:eastAsia="zh-CN"/>
        </w:rPr>
        <w:t xml:space="preserve">3.判定规则 </w:t>
      </w:r>
    </w:p>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bCs/>
          <w:sz w:val="21"/>
          <w:szCs w:val="21"/>
        </w:rPr>
      </w:pPr>
      <w:r>
        <w:rPr>
          <w:rFonts w:hint="eastAsia" w:ascii="宋体" w:hAnsi="宋体" w:eastAsia="宋体" w:cs="宋体"/>
          <w:b/>
          <w:bCs/>
          <w:sz w:val="21"/>
          <w:szCs w:val="21"/>
          <w:lang w:val="en-US" w:eastAsia="zh-CN"/>
        </w:rPr>
        <w:t xml:space="preserve">3.1 依据标准 </w:t>
      </w:r>
    </w:p>
    <w:p>
      <w:pPr>
        <w:keepNext w:val="0"/>
        <w:keepLines w:val="0"/>
        <w:pageBreakBefore w:val="0"/>
        <w:kinsoku/>
        <w:wordWrap/>
        <w:overflowPunct/>
        <w:topLinePunct w:val="0"/>
        <w:autoSpaceDE/>
        <w:autoSpaceDN/>
        <w:bidi w:val="0"/>
        <w:spacing w:line="440" w:lineRule="exact"/>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rPr>
        <w:t>GB 19147-2016</w:t>
      </w:r>
      <w:r>
        <w:rPr>
          <w:rFonts w:hint="eastAsia" w:ascii="宋体" w:hAnsi="宋体" w:eastAsia="宋体" w:cs="宋体"/>
          <w:sz w:val="21"/>
          <w:szCs w:val="21"/>
          <w:lang w:val="en-US" w:eastAsia="zh-CN"/>
        </w:rPr>
        <w:t>/XG1-2018</w:t>
      </w:r>
      <w:r>
        <w:rPr>
          <w:rFonts w:hint="eastAsia" w:ascii="宋体" w:hAnsi="宋体" w:eastAsia="宋体" w:cs="宋体"/>
          <w:sz w:val="21"/>
          <w:szCs w:val="21"/>
        </w:rPr>
        <w:t>《车用柴油》</w:t>
      </w:r>
      <w:r>
        <w:rPr>
          <w:rFonts w:hint="eastAsia" w:ascii="宋体" w:hAnsi="宋体" w:eastAsia="宋体" w:cs="宋体"/>
          <w:sz w:val="21"/>
          <w:szCs w:val="21"/>
          <w:lang w:val="en-US" w:eastAsia="zh-CN"/>
        </w:rPr>
        <w:t>国家标准第1号修改单</w:t>
      </w:r>
    </w:p>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bCs/>
          <w:sz w:val="21"/>
          <w:szCs w:val="21"/>
        </w:rPr>
      </w:pPr>
      <w:r>
        <w:rPr>
          <w:rFonts w:hint="eastAsia" w:ascii="宋体" w:hAnsi="宋体" w:eastAsia="宋体" w:cs="宋体"/>
          <w:b/>
          <w:bCs/>
          <w:sz w:val="21"/>
          <w:szCs w:val="21"/>
          <w:lang w:val="en-US" w:eastAsia="zh-CN"/>
        </w:rPr>
        <w:t xml:space="preserve">3.2 判定原则 </w:t>
      </w:r>
    </w:p>
    <w:p>
      <w:pPr>
        <w:keepNext w:val="0"/>
        <w:keepLines w:val="0"/>
        <w:pageBreakBefore w:val="0"/>
        <w:kinsoku/>
        <w:wordWrap/>
        <w:overflowPunct/>
        <w:topLinePunct w:val="0"/>
        <w:autoSpaceDE/>
        <w:autoSpaceDN/>
        <w:bidi w:val="0"/>
        <w:adjustRightInd w:val="0"/>
        <w:snapToGrid w:val="0"/>
        <w:spacing w:line="440" w:lineRule="exact"/>
        <w:ind w:firstLine="417" w:firstLineChars="199"/>
        <w:jc w:val="left"/>
        <w:rPr>
          <w:rFonts w:hint="eastAsia" w:ascii="宋体" w:hAnsi="宋体" w:eastAsia="宋体" w:cs="宋体"/>
          <w:color w:val="000000"/>
          <w:sz w:val="21"/>
          <w:szCs w:val="21"/>
        </w:rPr>
      </w:pPr>
      <w:r>
        <w:rPr>
          <w:rFonts w:hint="eastAsia" w:ascii="宋体" w:hAnsi="宋体" w:eastAsia="宋体" w:cs="宋体"/>
          <w:sz w:val="21"/>
          <w:szCs w:val="21"/>
          <w:lang w:val="en-US" w:eastAsia="zh-CN"/>
        </w:rPr>
        <w:t>经检验，检验项目全部合格，</w:t>
      </w:r>
      <w:r>
        <w:rPr>
          <w:rFonts w:hint="eastAsia" w:ascii="宋体" w:hAnsi="宋体" w:eastAsia="宋体" w:cs="宋体"/>
          <w:color w:val="000000"/>
          <w:sz w:val="21"/>
          <w:szCs w:val="21"/>
        </w:rPr>
        <w:t>判定为被抽查产品所检项目未发现不合格</w:t>
      </w:r>
      <w:r>
        <w:rPr>
          <w:rFonts w:hint="eastAsia" w:ascii="宋体" w:hAnsi="宋体" w:eastAsia="宋体" w:cs="宋体"/>
          <w:sz w:val="21"/>
          <w:szCs w:val="21"/>
          <w:lang w:val="en-US" w:eastAsia="zh-CN"/>
        </w:rPr>
        <w:t>；检验项目中任一项或一项以上不合格，判定为被抽查产品不合格。</w:t>
      </w:r>
    </w:p>
    <w:p>
      <w:pPr>
        <w:keepNext w:val="0"/>
        <w:keepLines w:val="0"/>
        <w:pageBreakBefore w:val="0"/>
        <w:kinsoku/>
        <w:wordWrap/>
        <w:overflowPunct/>
        <w:topLinePunct w:val="0"/>
        <w:autoSpaceDE/>
        <w:autoSpaceDN/>
        <w:bidi w:val="0"/>
        <w:spacing w:line="44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 xml:space="preserve">若被检产品明示的质量要求高于本细则中检验项目依据的标准要求时，应按被检产品明示的质量要求判定。 </w:t>
      </w:r>
    </w:p>
    <w:p>
      <w:pPr>
        <w:keepNext w:val="0"/>
        <w:keepLines w:val="0"/>
        <w:pageBreakBefore w:val="0"/>
        <w:kinsoku/>
        <w:wordWrap/>
        <w:overflowPunct/>
        <w:topLinePunct w:val="0"/>
        <w:autoSpaceDE/>
        <w:autoSpaceDN/>
        <w:bidi w:val="0"/>
        <w:spacing w:line="44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 xml:space="preserve">若被检产品明示的质量要求低于本细则中检验项目依据的强制性标准要求时，应按照强制性标准要求判定。 </w:t>
      </w:r>
    </w:p>
    <w:p>
      <w:pPr>
        <w:keepNext w:val="0"/>
        <w:keepLines w:val="0"/>
        <w:pageBreakBefore w:val="0"/>
        <w:widowControl/>
        <w:suppressLineNumbers w:val="0"/>
        <w:kinsoku/>
        <w:wordWrap/>
        <w:overflowPunct/>
        <w:topLinePunct w:val="0"/>
        <w:autoSpaceDE/>
        <w:autoSpaceDN/>
        <w:bidi w:val="0"/>
        <w:spacing w:line="440" w:lineRule="exact"/>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若被检产品明示的质量要求低于或包含本细则中检验项目依据的推荐性标准要求时，应以被检产品明示的质量要求判定。</w:t>
      </w:r>
    </w:p>
    <w:p>
      <w:pPr>
        <w:keepNext w:val="0"/>
        <w:keepLines w:val="0"/>
        <w:pageBreakBefore w:val="0"/>
        <w:kinsoku/>
        <w:wordWrap/>
        <w:overflowPunct/>
        <w:topLinePunct w:val="0"/>
        <w:autoSpaceDE/>
        <w:autoSpaceDN/>
        <w:bidi w:val="0"/>
        <w:spacing w:line="440" w:lineRule="exact"/>
        <w:ind w:firstLine="420" w:firstLineChars="200"/>
        <w:jc w:val="left"/>
        <w:rPr>
          <w:rFonts w:hint="eastAsia"/>
          <w:sz w:val="21"/>
          <w:szCs w:val="21"/>
        </w:rPr>
      </w:pPr>
      <w:r>
        <w:rPr>
          <w:rFonts w:hint="eastAsia"/>
          <w:sz w:val="21"/>
          <w:szCs w:val="21"/>
          <w:lang w:val="en-US" w:eastAsia="zh-CN"/>
        </w:rPr>
        <w:t xml:space="preserve">若被检产品明示的质量要求缺少本细则中检验项目依据的强制性标准要求时，应按照强制性标准要求判定。 </w:t>
      </w:r>
    </w:p>
    <w:p>
      <w:pPr>
        <w:keepNext w:val="0"/>
        <w:keepLines w:val="0"/>
        <w:pageBreakBefore w:val="0"/>
        <w:kinsoku/>
        <w:wordWrap/>
        <w:overflowPunct/>
        <w:topLinePunct w:val="0"/>
        <w:autoSpaceDE/>
        <w:autoSpaceDN/>
        <w:bidi w:val="0"/>
        <w:spacing w:line="440" w:lineRule="exact"/>
        <w:ind w:firstLine="420" w:firstLineChars="200"/>
        <w:jc w:val="left"/>
        <w:rPr>
          <w:rFonts w:hint="eastAsia"/>
          <w:sz w:val="21"/>
          <w:szCs w:val="21"/>
        </w:rPr>
      </w:pPr>
      <w:r>
        <w:rPr>
          <w:rFonts w:hint="eastAsia"/>
          <w:sz w:val="21"/>
          <w:szCs w:val="21"/>
          <w:lang w:val="en-US" w:eastAsia="zh-CN"/>
        </w:rPr>
        <w:t>若被检产品明示的质量要求缺少本细则中检验项目依据的推荐性标准要求时，该项目不参与判定。</w:t>
      </w:r>
    </w:p>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sz w:val="28"/>
          <w:szCs w:val="28"/>
        </w:rPr>
      </w:pPr>
    </w:p>
    <w:p>
      <w:pPr>
        <w:pStyle w:val="2"/>
        <w:rPr>
          <w:rFonts w:hint="eastAsia"/>
        </w:rPr>
      </w:pPr>
    </w:p>
    <w:p>
      <w:pPr>
        <w:pStyle w:val="2"/>
        <w:rPr>
          <w:rFonts w:hint="eastAsia"/>
        </w:rPr>
      </w:pPr>
    </w:p>
    <w:p>
      <w:pPr>
        <w:pStyle w:val="2"/>
      </w:pPr>
    </w:p>
    <w:p>
      <w:pPr>
        <w:pStyle w:val="2"/>
        <w:rPr>
          <w:rFonts w:hint="eastAsia" w:ascii="宋体" w:hAnsi="宋体" w:eastAsia="宋体" w:cs="Times New Roman"/>
          <w:b/>
          <w:bCs/>
          <w:color w:val="000000"/>
          <w:kern w:val="0"/>
          <w:sz w:val="32"/>
          <w:szCs w:val="32"/>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仿宋简体">
    <w:altName w:val="方正仿宋_GBK"/>
    <w:panose1 w:val="00000000000000000000"/>
    <w:charset w:val="86"/>
    <w:family w:val="auto"/>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hODJmMDllNGFiZGYyNDhjOGQzMDg2YWU4NmFlYTEifQ=="/>
  </w:docVars>
  <w:rsids>
    <w:rsidRoot w:val="006A064B"/>
    <w:rsid w:val="006A064B"/>
    <w:rsid w:val="009E375E"/>
    <w:rsid w:val="00C36BBD"/>
    <w:rsid w:val="00F91F60"/>
    <w:rsid w:val="0DA118BB"/>
    <w:rsid w:val="1DBE097F"/>
    <w:rsid w:val="36C37669"/>
    <w:rsid w:val="387A0C3E"/>
    <w:rsid w:val="476C6CAC"/>
    <w:rsid w:val="54391DA5"/>
    <w:rsid w:val="57CE5DA4"/>
    <w:rsid w:val="5870714C"/>
    <w:rsid w:val="58826AEB"/>
    <w:rsid w:val="6BD78DC5"/>
    <w:rsid w:val="7FAE7DEF"/>
    <w:rsid w:val="BFAF32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Chars="200"/>
    </w:pPr>
  </w:style>
  <w:style w:type="paragraph" w:styleId="3">
    <w:name w:val="Body Text Indent"/>
    <w:basedOn w:val="1"/>
    <w:qFormat/>
    <w:uiPriority w:val="0"/>
    <w:pPr>
      <w:ind w:firstLine="420"/>
    </w:pPr>
    <w:rPr>
      <w:rFonts w:eastAsia="方正仿宋简体"/>
      <w:sz w:val="32"/>
      <w:szCs w:val="32"/>
    </w:rPr>
  </w:style>
  <w:style w:type="paragraph" w:styleId="4">
    <w:name w:val="table of authorities"/>
    <w:basedOn w:val="1"/>
    <w:next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668</Words>
  <Characters>813</Characters>
  <Lines>18</Lines>
  <Paragraphs>5</Paragraphs>
  <TotalTime>0</TotalTime>
  <ScaleCrop>false</ScaleCrop>
  <LinksUpToDate>false</LinksUpToDate>
  <CharactersWithSpaces>840</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2023-02-10T18:08:00Z</dcterms:created>
  <dc:creator>Dell</dc:creator>
  <cp:lastModifiedBy>scj</cp:lastModifiedBy>
  <dcterms:modified xsi:type="dcterms:W3CDTF">2024-01-10T06:02:18Z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4AA681E050F74B27884349F55C6E2BE4_13</vt:lpwstr>
  </property>
</Properties>
</file>