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hint="eastAsia" w:ascii="方正小标宋简体" w:hAnsi="方正小标宋简体" w:eastAsia="方正小标宋简体" w:cs="方正小标宋简体"/>
          <w:color w:val="000000"/>
          <w:sz w:val="32"/>
          <w:szCs w:val="32"/>
        </w:rPr>
      </w:pPr>
      <w:bookmarkStart w:id="0" w:name="_GoBack"/>
      <w:r>
        <w:rPr>
          <w:rFonts w:hint="eastAsia" w:ascii="方正小标宋简体" w:hAnsi="方正小标宋简体" w:eastAsia="方正小标宋简体" w:cs="方正小标宋简体"/>
          <w:color w:val="000000"/>
          <w:sz w:val="32"/>
          <w:szCs w:val="32"/>
        </w:rPr>
        <w:t>家用和类似用途固定式电气装置的开关产品质量</w:t>
      </w:r>
      <w:r>
        <w:rPr>
          <w:rFonts w:hint="eastAsia" w:ascii="方正小标宋简体" w:hAnsi="方正小标宋简体" w:eastAsia="方正小标宋简体" w:cs="方正小标宋简体"/>
          <w:color w:val="000000"/>
          <w:sz w:val="32"/>
          <w:szCs w:val="32"/>
          <w:lang w:eastAsia="zh-CN"/>
        </w:rPr>
        <w:t>焦作市</w:t>
      </w:r>
      <w:r>
        <w:rPr>
          <w:rFonts w:hint="eastAsia" w:ascii="方正小标宋简体" w:hAnsi="方正小标宋简体" w:eastAsia="方正小标宋简体" w:cs="方正小标宋简体"/>
          <w:color w:val="000000"/>
          <w:sz w:val="32"/>
          <w:szCs w:val="32"/>
        </w:rPr>
        <w:t>监督抽查实施细则</w:t>
      </w:r>
    </w:p>
    <w:bookmarkEnd w:id="0"/>
    <w:p>
      <w:pPr>
        <w:spacing w:line="440" w:lineRule="exact"/>
        <w:jc w:val="center"/>
        <w:rPr>
          <w:rFonts w:hint="eastAsia" w:ascii="宋体" w:hAnsi="宋体" w:eastAsia="宋体" w:cs="宋体"/>
          <w:color w:val="000000"/>
          <w:sz w:val="32"/>
          <w:szCs w:val="32"/>
        </w:rPr>
      </w:pPr>
    </w:p>
    <w:p>
      <w:pPr>
        <w:snapToGrid w:val="0"/>
        <w:spacing w:line="440" w:lineRule="exact"/>
        <w:rPr>
          <w:rFonts w:hint="eastAsia" w:ascii="宋体" w:hAnsi="宋体" w:eastAsia="宋体" w:cs="宋体"/>
          <w:color w:val="000000"/>
          <w:szCs w:val="21"/>
        </w:rPr>
      </w:pPr>
      <w:r>
        <w:rPr>
          <w:rFonts w:hint="eastAsia" w:ascii="宋体" w:hAnsi="宋体" w:eastAsia="宋体" w:cs="宋体"/>
          <w:color w:val="000000"/>
          <w:szCs w:val="21"/>
        </w:rPr>
        <w:t>1 抽样方法</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以随机抽样的方式在被抽样生产者、销售者的待销产品中抽取。</w:t>
      </w:r>
    </w:p>
    <w:p>
      <w:pPr>
        <w:adjustRightInd w:val="0"/>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随机数一般可使用随机数表等方法产生。</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按照标准GB/T 16915.1</w:t>
      </w:r>
      <w:r>
        <w:rPr>
          <w:rFonts w:hint="eastAsia" w:ascii="宋体" w:hAnsi="宋体" w:eastAsia="宋体" w:cs="宋体"/>
        </w:rPr>
        <w:t>—</w:t>
      </w:r>
      <w:r>
        <w:rPr>
          <w:rFonts w:hint="eastAsia" w:ascii="宋体" w:hAnsi="宋体" w:eastAsia="宋体" w:cs="宋体"/>
          <w:color w:val="000000"/>
          <w:szCs w:val="21"/>
        </w:rPr>
        <w:t>2014第7.1.1.条分类代号为2的双极开关，每种产品抽取样品20只，其中10只为检验样品，10只为备用样品；其他类型的开关，每种产品抽取样品14只，其中7只为检验样品，7只为备用样品。</w:t>
      </w:r>
    </w:p>
    <w:p>
      <w:pPr>
        <w:snapToGrid w:val="0"/>
        <w:spacing w:line="440" w:lineRule="exact"/>
        <w:rPr>
          <w:rFonts w:hint="eastAsia" w:ascii="宋体" w:hAnsi="宋体" w:eastAsia="宋体" w:cs="宋体"/>
          <w:color w:val="000000"/>
          <w:szCs w:val="21"/>
        </w:rPr>
      </w:pPr>
    </w:p>
    <w:p>
      <w:pPr>
        <w:snapToGrid w:val="0"/>
        <w:spacing w:line="440" w:lineRule="exact"/>
        <w:rPr>
          <w:rFonts w:hint="eastAsia" w:ascii="宋体" w:hAnsi="宋体" w:eastAsia="宋体" w:cs="宋体"/>
          <w:color w:val="000000"/>
          <w:szCs w:val="21"/>
        </w:rPr>
      </w:pPr>
      <w:r>
        <w:rPr>
          <w:rFonts w:hint="eastAsia" w:ascii="宋体" w:hAnsi="宋体" w:eastAsia="宋体" w:cs="宋体"/>
          <w:color w:val="000000"/>
          <w:szCs w:val="21"/>
        </w:rPr>
        <w:t>2 检验依据</w:t>
      </w:r>
    </w:p>
    <w:p>
      <w:pPr>
        <w:snapToGrid w:val="0"/>
        <w:spacing w:line="440" w:lineRule="exact"/>
        <w:jc w:val="center"/>
        <w:rPr>
          <w:rFonts w:hint="eastAsia" w:ascii="宋体" w:hAnsi="宋体" w:eastAsia="宋体" w:cs="宋体"/>
          <w:color w:val="000000"/>
          <w:szCs w:val="21"/>
        </w:rPr>
      </w:pP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919"/>
        <w:gridCol w:w="2698"/>
        <w:gridCol w:w="2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1592"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szCs w:val="21"/>
              </w:rPr>
              <w:t>检验依据</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592"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标志</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rPr>
              <w:t>GB/T 16915.1-2014</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1592"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防触电保护</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1592"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接地措施</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4</w:t>
            </w:r>
          </w:p>
        </w:tc>
        <w:tc>
          <w:tcPr>
            <w:tcW w:w="1592"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结构要求</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5</w:t>
            </w:r>
          </w:p>
        </w:tc>
        <w:tc>
          <w:tcPr>
            <w:tcW w:w="1592" w:type="pct"/>
            <w:vAlign w:val="center"/>
          </w:tcPr>
          <w:p>
            <w:pPr>
              <w:snapToGrid w:val="0"/>
              <w:jc w:val="center"/>
              <w:rPr>
                <w:rFonts w:hint="eastAsia" w:ascii="宋体" w:hAnsi="宋体" w:eastAsia="宋体" w:cs="宋体"/>
                <w:szCs w:val="21"/>
              </w:rPr>
            </w:pPr>
            <w:r>
              <w:rPr>
                <w:rFonts w:hint="eastAsia" w:ascii="宋体" w:hAnsi="宋体" w:eastAsia="宋体" w:cs="宋体"/>
                <w:szCs w:val="21"/>
                <w:lang w:val="en-US" w:eastAsia="zh-CN"/>
              </w:rPr>
              <w:t>机械强度</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6</w:t>
            </w:r>
          </w:p>
        </w:tc>
        <w:tc>
          <w:tcPr>
            <w:tcW w:w="1592" w:type="pct"/>
            <w:vAlign w:val="center"/>
          </w:tcPr>
          <w:p>
            <w:pPr>
              <w:snapToGrid w:val="0"/>
              <w:jc w:val="center"/>
              <w:rPr>
                <w:rFonts w:hint="eastAsia" w:ascii="宋体" w:hAnsi="宋体" w:eastAsia="宋体" w:cs="宋体"/>
                <w:szCs w:val="21"/>
              </w:rPr>
            </w:pPr>
            <w:r>
              <w:rPr>
                <w:rFonts w:hint="eastAsia" w:ascii="宋体" w:hAnsi="宋体" w:eastAsia="宋体" w:cs="宋体"/>
                <w:szCs w:val="21"/>
                <w:lang w:val="en-US" w:eastAsia="zh-CN"/>
              </w:rPr>
              <w:t>绝缘电阻</w:t>
            </w:r>
          </w:p>
        </w:tc>
        <w:tc>
          <w:tcPr>
            <w:tcW w:w="1471" w:type="pct"/>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c>
          <w:tcPr>
            <w:tcW w:w="1471" w:type="pct"/>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7</w:t>
            </w:r>
          </w:p>
        </w:tc>
        <w:tc>
          <w:tcPr>
            <w:tcW w:w="1592" w:type="pct"/>
            <w:vAlign w:val="center"/>
          </w:tcPr>
          <w:p>
            <w:pPr>
              <w:snapToGrid w:val="0"/>
              <w:jc w:val="center"/>
              <w:rPr>
                <w:rFonts w:hint="eastAsia" w:ascii="宋体" w:hAnsi="宋体" w:eastAsia="宋体" w:cs="宋体"/>
                <w:szCs w:val="21"/>
              </w:rPr>
            </w:pPr>
            <w:r>
              <w:rPr>
                <w:rFonts w:hint="eastAsia" w:ascii="宋体" w:hAnsi="宋体" w:eastAsia="宋体" w:cs="宋体"/>
                <w:szCs w:val="21"/>
                <w:lang w:val="en-US" w:eastAsia="zh-CN"/>
              </w:rPr>
              <w:t>耐热</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8</w:t>
            </w:r>
          </w:p>
        </w:tc>
        <w:tc>
          <w:tcPr>
            <w:tcW w:w="1592"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螺钉、载流部件和连接</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c>
          <w:tcPr>
            <w:tcW w:w="1471"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5" w:type="pct"/>
            <w:vAlign w:val="center"/>
          </w:tcPr>
          <w:p>
            <w:pPr>
              <w:snapToGrid w:val="0"/>
              <w:jc w:val="center"/>
              <w:rPr>
                <w:rFonts w:hint="eastAsia" w:ascii="宋体" w:hAnsi="宋体" w:eastAsia="宋体" w:cs="宋体"/>
                <w:color w:val="000000"/>
                <w:szCs w:val="21"/>
              </w:rPr>
            </w:pPr>
            <w:r>
              <w:rPr>
                <w:rFonts w:hint="eastAsia" w:ascii="宋体" w:hAnsi="宋体" w:eastAsia="宋体" w:cs="宋体"/>
                <w:color w:val="000000"/>
                <w:szCs w:val="21"/>
              </w:rPr>
              <w:t>9</w:t>
            </w:r>
          </w:p>
        </w:tc>
        <w:tc>
          <w:tcPr>
            <w:tcW w:w="1592" w:type="pct"/>
            <w:shd w:val="clear" w:color="auto" w:fill="auto"/>
            <w:vAlign w:val="center"/>
          </w:tcPr>
          <w:p>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绝缘材料的耐非正常热和耐燃</w:t>
            </w:r>
          </w:p>
        </w:tc>
        <w:tc>
          <w:tcPr>
            <w:tcW w:w="1471" w:type="pct"/>
            <w:shd w:val="clear" w:color="auto" w:fill="auto"/>
            <w:vAlign w:val="center"/>
          </w:tcPr>
          <w:p>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GB/T 16915.1-2014</w:t>
            </w:r>
          </w:p>
        </w:tc>
        <w:tc>
          <w:tcPr>
            <w:tcW w:w="1471" w:type="pct"/>
            <w:shd w:val="clear" w:color="auto" w:fill="auto"/>
            <w:vAlign w:val="center"/>
          </w:tcPr>
          <w:p>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GB/T 16915.1-2014</w:t>
            </w:r>
          </w:p>
        </w:tc>
      </w:tr>
    </w:tbl>
    <w:p>
      <w:pPr>
        <w:snapToGrid w:val="0"/>
        <w:spacing w:line="440" w:lineRule="exact"/>
        <w:ind w:firstLine="359" w:firstLineChars="171"/>
        <w:rPr>
          <w:rFonts w:hint="eastAsia" w:ascii="宋体" w:hAnsi="宋体" w:eastAsia="宋体" w:cs="宋体"/>
          <w:color w:val="000000"/>
          <w:szCs w:val="21"/>
        </w:rPr>
      </w:pPr>
      <w:r>
        <w:rPr>
          <w:rFonts w:hint="eastAsia" w:ascii="宋体" w:hAnsi="宋体" w:eastAsia="宋体" w:cs="宋体"/>
          <w:color w:val="000000"/>
          <w:szCs w:val="21"/>
        </w:rPr>
        <w:t>执行企业标准、团体标准、地方标准的产品，检验项目参照上述内容执行。</w:t>
      </w:r>
    </w:p>
    <w:p>
      <w:pPr>
        <w:snapToGrid w:val="0"/>
        <w:spacing w:line="440" w:lineRule="exact"/>
        <w:ind w:firstLine="359" w:firstLineChars="171"/>
        <w:rPr>
          <w:rFonts w:hint="eastAsia" w:ascii="宋体" w:hAnsi="宋体" w:eastAsia="宋体" w:cs="宋体"/>
          <w:color w:val="000000"/>
          <w:szCs w:val="21"/>
        </w:rPr>
      </w:pPr>
      <w:r>
        <w:rPr>
          <w:rFonts w:hint="eastAsia" w:ascii="宋体" w:hAnsi="宋体" w:eastAsia="宋体" w:cs="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3 判定规则</w:t>
      </w:r>
    </w:p>
    <w:p>
      <w:pPr>
        <w:snapToGrid w:val="0"/>
        <w:spacing w:line="440" w:lineRule="exact"/>
        <w:rPr>
          <w:rFonts w:hint="eastAsia" w:ascii="宋体" w:hAnsi="宋体" w:eastAsia="宋体" w:cs="宋体"/>
          <w:color w:val="000000"/>
          <w:szCs w:val="21"/>
        </w:rPr>
      </w:pPr>
      <w:r>
        <w:rPr>
          <w:rFonts w:hint="eastAsia" w:ascii="宋体" w:hAnsi="宋体" w:eastAsia="宋体" w:cs="宋体"/>
          <w:color w:val="000000"/>
          <w:szCs w:val="21"/>
        </w:rPr>
        <w:t>3.1依据标准</w:t>
      </w:r>
    </w:p>
    <w:p>
      <w:pPr>
        <w:snapToGrid w:val="0"/>
        <w:spacing w:line="440" w:lineRule="exact"/>
        <w:ind w:firstLine="359" w:firstLineChars="171"/>
        <w:rPr>
          <w:rFonts w:hint="eastAsia" w:ascii="宋体" w:hAnsi="宋体" w:eastAsia="宋体" w:cs="宋体"/>
          <w:color w:val="000000"/>
          <w:szCs w:val="21"/>
        </w:rPr>
      </w:pPr>
      <w:r>
        <w:rPr>
          <w:rFonts w:hint="eastAsia" w:ascii="宋体" w:hAnsi="宋体" w:eastAsia="宋体" w:cs="宋体"/>
          <w:color w:val="000000"/>
          <w:szCs w:val="21"/>
        </w:rPr>
        <w:t>GB/T 16915.1</w:t>
      </w:r>
      <w:r>
        <w:rPr>
          <w:rFonts w:hint="eastAsia" w:ascii="宋体" w:hAnsi="宋体" w:eastAsia="宋体" w:cs="宋体"/>
        </w:rPr>
        <w:t>—</w:t>
      </w:r>
      <w:r>
        <w:rPr>
          <w:rFonts w:hint="eastAsia" w:ascii="宋体" w:hAnsi="宋体" w:eastAsia="宋体" w:cs="宋体"/>
          <w:color w:val="000000"/>
          <w:szCs w:val="21"/>
        </w:rPr>
        <w:t>2014 家用和类似用途固定式电气装置的开关  第1部分：通用要求</w:t>
      </w:r>
    </w:p>
    <w:p>
      <w:pPr>
        <w:snapToGrid w:val="0"/>
        <w:spacing w:line="440" w:lineRule="exact"/>
        <w:ind w:firstLine="359" w:firstLineChars="171"/>
        <w:rPr>
          <w:rFonts w:hint="eastAsia" w:ascii="宋体" w:hAnsi="宋体" w:eastAsia="宋体" w:cs="宋体"/>
          <w:color w:val="000000"/>
          <w:szCs w:val="21"/>
        </w:rPr>
      </w:pPr>
      <w:r>
        <w:rPr>
          <w:rFonts w:hint="eastAsia" w:ascii="宋体" w:hAnsi="宋体" w:eastAsia="宋体" w:cs="宋体"/>
          <w:color w:val="000000"/>
          <w:szCs w:val="21"/>
        </w:rPr>
        <w:t>现行有效的企业标准、团体标准、地方标准及产品明示质量要求</w:t>
      </w:r>
    </w:p>
    <w:p>
      <w:pPr>
        <w:snapToGrid w:val="0"/>
        <w:spacing w:line="440" w:lineRule="exact"/>
        <w:rPr>
          <w:rFonts w:hint="eastAsia" w:ascii="宋体" w:hAnsi="宋体" w:eastAsia="宋体" w:cs="宋体"/>
          <w:color w:val="000000"/>
          <w:szCs w:val="21"/>
        </w:rPr>
      </w:pPr>
      <w:r>
        <w:rPr>
          <w:rFonts w:hint="eastAsia" w:ascii="宋体" w:hAnsi="宋体" w:eastAsia="宋体" w:cs="宋体"/>
          <w:color w:val="000000"/>
          <w:szCs w:val="21"/>
        </w:rPr>
        <w:t>3.2判定原则</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若被检产品明示的质量要求缺少本细则中检验项目依据的推荐性标准要求时，该项目不参与判定。</w:t>
      </w:r>
    </w:p>
    <w:p>
      <w:pPr>
        <w:snapToGrid w:val="0"/>
        <w:spacing w:line="440" w:lineRule="exact"/>
        <w:ind w:firstLine="420" w:firstLineChars="200"/>
        <w:rPr>
          <w:rFonts w:hint="eastAsia" w:ascii="宋体" w:hAnsi="宋体" w:eastAsia="宋体" w:cs="宋体"/>
          <w:color w:val="000000"/>
          <w:szCs w:val="21"/>
        </w:rPr>
      </w:pPr>
    </w:p>
    <w:p>
      <w:pPr>
        <w:pStyle w:val="5"/>
        <w:widowControl/>
        <w:shd w:val="clear" w:color="auto" w:fill="FFFFFF"/>
        <w:spacing w:before="0" w:beforeAutospacing="0" w:after="0" w:afterAutospacing="0" w:line="440" w:lineRule="exact"/>
        <w:ind w:firstLine="420" w:firstLineChars="200"/>
        <w:jc w:val="both"/>
        <w:rPr>
          <w:rFonts w:hint="eastAsia" w:ascii="宋体" w:hAnsi="宋体" w:eastAsia="宋体" w:cs="宋体"/>
          <w:color w:val="000000"/>
          <w:kern w:val="2"/>
          <w:sz w:val="21"/>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xYzYzN2JiODY2MjY4YWE5YTMwZWNlODFlMWQ2YTkifQ=="/>
  </w:docVars>
  <w:rsids>
    <w:rsidRoot w:val="1A047D82"/>
    <w:rsid w:val="00072F49"/>
    <w:rsid w:val="00096A54"/>
    <w:rsid w:val="000A318E"/>
    <w:rsid w:val="000B38C5"/>
    <w:rsid w:val="000C28D4"/>
    <w:rsid w:val="00275C4B"/>
    <w:rsid w:val="002A5E8B"/>
    <w:rsid w:val="003329FF"/>
    <w:rsid w:val="003C3FCD"/>
    <w:rsid w:val="003E4DB1"/>
    <w:rsid w:val="004700F5"/>
    <w:rsid w:val="00476754"/>
    <w:rsid w:val="0050181B"/>
    <w:rsid w:val="005F570F"/>
    <w:rsid w:val="005F6EFB"/>
    <w:rsid w:val="00656977"/>
    <w:rsid w:val="00722144"/>
    <w:rsid w:val="007D74DE"/>
    <w:rsid w:val="00811CC0"/>
    <w:rsid w:val="00914186"/>
    <w:rsid w:val="00916C82"/>
    <w:rsid w:val="009343EF"/>
    <w:rsid w:val="00A0504C"/>
    <w:rsid w:val="00D91230"/>
    <w:rsid w:val="00DD19D3"/>
    <w:rsid w:val="00DE2CCB"/>
    <w:rsid w:val="00E16AFC"/>
    <w:rsid w:val="00E21C39"/>
    <w:rsid w:val="00F80B2A"/>
    <w:rsid w:val="144444F1"/>
    <w:rsid w:val="1A047D82"/>
    <w:rsid w:val="2FEC3200"/>
    <w:rsid w:val="33795318"/>
    <w:rsid w:val="33D61E53"/>
    <w:rsid w:val="43FD33AF"/>
    <w:rsid w:val="4A784481"/>
    <w:rsid w:val="4FB03051"/>
    <w:rsid w:val="51431C42"/>
    <w:rsid w:val="5A1C32B4"/>
    <w:rsid w:val="66A14D25"/>
    <w:rsid w:val="76FD59C2"/>
    <w:rsid w:val="7C4F64B5"/>
    <w:rsid w:val="FF5F1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spacing w:before="100" w:beforeAutospacing="1" w:after="100" w:afterAutospacing="1"/>
      <w:jc w:val="left"/>
    </w:pPr>
    <w:rPr>
      <w:rFonts w:ascii="Calibri" w:hAnsi="Calibri"/>
      <w:kern w:val="0"/>
      <w:sz w:val="24"/>
      <w:szCs w:val="22"/>
    </w:rPr>
  </w:style>
  <w:style w:type="paragraph" w:styleId="6">
    <w:name w:val="annotation subject"/>
    <w:basedOn w:val="2"/>
    <w:next w:val="2"/>
    <w:link w:val="12"/>
    <w:qFormat/>
    <w:uiPriority w:val="0"/>
    <w:rPr>
      <w:b/>
      <w:bCs/>
    </w:rPr>
  </w:style>
  <w:style w:type="character" w:styleId="9">
    <w:name w:val="page number"/>
    <w:qFormat/>
    <w:uiPriority w:val="0"/>
  </w:style>
  <w:style w:type="character" w:styleId="10">
    <w:name w:val="annotation reference"/>
    <w:basedOn w:val="8"/>
    <w:qFormat/>
    <w:uiPriority w:val="0"/>
    <w:rPr>
      <w:sz w:val="21"/>
      <w:szCs w:val="21"/>
    </w:rPr>
  </w:style>
  <w:style w:type="character" w:customStyle="1" w:styleId="11">
    <w:name w:val="批注文字 字符"/>
    <w:basedOn w:val="8"/>
    <w:link w:val="2"/>
    <w:qFormat/>
    <w:uiPriority w:val="0"/>
    <w:rPr>
      <w:rFonts w:ascii="Times New Roman" w:hAnsi="Times New Roman" w:eastAsia="宋体" w:cs="Times New Roman"/>
      <w:kern w:val="2"/>
      <w:sz w:val="21"/>
      <w:szCs w:val="24"/>
    </w:rPr>
  </w:style>
  <w:style w:type="character" w:customStyle="1" w:styleId="12">
    <w:name w:val="批注主题 字符"/>
    <w:basedOn w:val="11"/>
    <w:link w:val="6"/>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743</Words>
  <Characters>1036</Characters>
  <Lines>8</Lines>
  <Paragraphs>2</Paragraphs>
  <TotalTime>1</TotalTime>
  <ScaleCrop>false</ScaleCrop>
  <LinksUpToDate>false</LinksUpToDate>
  <CharactersWithSpaces>1062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2024-08-13T16:53:00Z</dcterms:created>
  <dc:creator>谭凝</dc:creator>
  <cp:lastModifiedBy>scj</cp:lastModifiedBy>
  <cp:lastPrinted>2024-08-12T23:36:00Z</cp:lastPrinted>
  <dcterms:modified xsi:type="dcterms:W3CDTF">2024-08-19T21:24:45Z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42DB041A7E31470EB5073E4CDAC1C9BD</vt:lpwstr>
  </property>
</Properties>
</file>