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方正小标宋简体" w:hAnsi="方正小标宋简体" w:eastAsia="方正小标宋简体" w:cs="方正小标宋简体"/>
          <w:b w:val="0"/>
          <w:bCs w:val="0"/>
          <w:color w:val="000000"/>
          <w:sz w:val="32"/>
          <w:szCs w:val="32"/>
        </w:rPr>
      </w:pPr>
      <w:r>
        <w:rPr>
          <w:rFonts w:hint="eastAsia" w:ascii="方正小标宋简体" w:hAnsi="方正小标宋简体" w:eastAsia="方正小标宋简体" w:cs="方正小标宋简体"/>
          <w:b w:val="0"/>
          <w:bCs w:val="0"/>
          <w:color w:val="000000"/>
          <w:sz w:val="32"/>
          <w:szCs w:val="32"/>
          <w:lang w:val="en-US" w:eastAsia="zh-CN"/>
        </w:rPr>
        <w:t>灭火器</w:t>
      </w:r>
      <w:r>
        <w:rPr>
          <w:rFonts w:hint="eastAsia" w:ascii="方正小标宋简体" w:hAnsi="方正小标宋简体" w:eastAsia="方正小标宋简体" w:cs="方正小标宋简体"/>
          <w:b w:val="0"/>
          <w:bCs w:val="0"/>
          <w:color w:val="000000"/>
          <w:sz w:val="32"/>
          <w:szCs w:val="32"/>
        </w:rPr>
        <w:t>产品质量</w:t>
      </w:r>
      <w:r>
        <w:rPr>
          <w:rFonts w:hint="eastAsia" w:ascii="方正小标宋简体" w:hAnsi="方正小标宋简体" w:eastAsia="方正小标宋简体" w:cs="方正小标宋简体"/>
          <w:b w:val="0"/>
          <w:bCs w:val="0"/>
          <w:color w:val="000000"/>
          <w:sz w:val="32"/>
          <w:szCs w:val="32"/>
          <w:lang w:eastAsia="zh-CN"/>
        </w:rPr>
        <w:t>焦作市</w:t>
      </w:r>
      <w:r>
        <w:rPr>
          <w:rFonts w:hint="eastAsia" w:ascii="方正小标宋简体" w:hAnsi="方正小标宋简体" w:eastAsia="方正小标宋简体" w:cs="方正小标宋简体"/>
          <w:b w:val="0"/>
          <w:bCs w:val="0"/>
          <w:color w:val="000000"/>
          <w:sz w:val="32"/>
          <w:szCs w:val="32"/>
        </w:rPr>
        <w:t>监督抽查实施细则</w:t>
      </w:r>
    </w:p>
    <w:p>
      <w:pPr>
        <w:pStyle w:val="4"/>
        <w:rPr>
          <w:rFonts w:hint="eastAsia"/>
        </w:rPr>
      </w:pPr>
    </w:p>
    <w:p>
      <w:pPr>
        <w:keepNext w:val="0"/>
        <w:keepLines w:val="0"/>
        <w:pageBreakBefore w:val="0"/>
        <w:widowControl w:val="0"/>
        <w:kinsoku/>
        <w:wordWrap/>
        <w:overflowPunct/>
        <w:topLinePunct w:val="0"/>
        <w:autoSpaceDE/>
        <w:autoSpaceDN/>
        <w:bidi w:val="0"/>
        <w:snapToGrid w:val="0"/>
        <w:spacing w:line="360" w:lineRule="auto"/>
        <w:textAlignment w:val="auto"/>
        <w:rPr>
          <w:rFonts w:hint="eastAsia" w:ascii="宋体" w:hAnsi="宋体" w:eastAsia="宋体" w:cs="宋体"/>
          <w:b/>
          <w:bCs/>
          <w:color w:val="000000"/>
          <w:sz w:val="21"/>
          <w:szCs w:val="21"/>
        </w:rPr>
      </w:pPr>
      <w:bookmarkStart w:id="0" w:name="_GoBack"/>
      <w:r>
        <w:rPr>
          <w:rFonts w:hint="eastAsia" w:ascii="宋体" w:hAnsi="宋体" w:eastAsia="宋体" w:cs="宋体"/>
          <w:b/>
          <w:bCs/>
          <w:color w:val="000000"/>
          <w:sz w:val="21"/>
          <w:szCs w:val="21"/>
        </w:rPr>
        <w:t>1 抽样方法</w:t>
      </w:r>
    </w:p>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以随机抽样的方式在被抽样生产者、销售者的待销产品中抽取。</w:t>
      </w:r>
    </w:p>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随机数一般可使用随机数表等方法产生。</w:t>
      </w:r>
    </w:p>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每批次产品抽取样品</w:t>
      </w:r>
      <w:r>
        <w:rPr>
          <w:rFonts w:hint="eastAsia" w:ascii="宋体" w:hAnsi="宋体" w:cs="宋体"/>
          <w:color w:val="000000"/>
          <w:sz w:val="21"/>
          <w:szCs w:val="21"/>
          <w:lang w:val="en-US" w:eastAsia="zh-CN"/>
        </w:rPr>
        <w:t>6</w:t>
      </w:r>
      <w:r>
        <w:rPr>
          <w:rFonts w:hint="eastAsia" w:ascii="宋体" w:hAnsi="宋体" w:eastAsia="宋体" w:cs="宋体"/>
          <w:color w:val="000000"/>
          <w:sz w:val="21"/>
          <w:szCs w:val="21"/>
          <w:lang w:val="en-US" w:eastAsia="zh-CN"/>
        </w:rPr>
        <w:t>个，其中</w:t>
      </w:r>
      <w:r>
        <w:rPr>
          <w:rFonts w:hint="eastAsia" w:ascii="宋体" w:hAnsi="宋体" w:cs="宋体"/>
          <w:color w:val="000000"/>
          <w:sz w:val="21"/>
          <w:szCs w:val="21"/>
          <w:lang w:val="en-US" w:eastAsia="zh-CN"/>
        </w:rPr>
        <w:t>3</w:t>
      </w:r>
      <w:r>
        <w:rPr>
          <w:rFonts w:hint="eastAsia" w:ascii="宋体" w:hAnsi="宋体" w:eastAsia="宋体" w:cs="宋体"/>
          <w:color w:val="000000"/>
          <w:sz w:val="21"/>
          <w:szCs w:val="21"/>
          <w:lang w:val="en-US" w:eastAsia="zh-CN"/>
        </w:rPr>
        <w:t>个作为检验样品，</w:t>
      </w:r>
      <w:r>
        <w:rPr>
          <w:rFonts w:hint="eastAsia" w:ascii="宋体" w:hAnsi="宋体" w:cs="宋体"/>
          <w:color w:val="000000"/>
          <w:sz w:val="21"/>
          <w:szCs w:val="21"/>
          <w:lang w:val="en-US" w:eastAsia="zh-CN"/>
        </w:rPr>
        <w:t>3</w:t>
      </w:r>
      <w:r>
        <w:rPr>
          <w:rFonts w:hint="eastAsia" w:ascii="宋体" w:hAnsi="宋体" w:eastAsia="宋体" w:cs="宋体"/>
          <w:color w:val="000000"/>
          <w:sz w:val="21"/>
          <w:szCs w:val="21"/>
          <w:lang w:val="en-US" w:eastAsia="zh-CN"/>
        </w:rPr>
        <w:t>个作为备用样品。</w:t>
      </w:r>
    </w:p>
    <w:p>
      <w:pPr>
        <w:keepNext w:val="0"/>
        <w:keepLines w:val="0"/>
        <w:pageBreakBefore w:val="0"/>
        <w:widowControl w:val="0"/>
        <w:kinsoku/>
        <w:wordWrap/>
        <w:overflowPunct/>
        <w:topLinePunct w:val="0"/>
        <w:autoSpaceDE/>
        <w:autoSpaceDN/>
        <w:bidi w:val="0"/>
        <w:snapToGrid w:val="0"/>
        <w:spacing w:line="360" w:lineRule="auto"/>
        <w:textAlignment w:val="auto"/>
        <w:rPr>
          <w:rFonts w:hint="eastAsia" w:ascii="宋体" w:hAnsi="宋体" w:eastAsia="宋体" w:cs="宋体"/>
          <w:b/>
          <w:bCs/>
          <w:color w:val="000000"/>
          <w:sz w:val="21"/>
          <w:szCs w:val="21"/>
        </w:rPr>
      </w:pPr>
      <w:r>
        <w:rPr>
          <w:rFonts w:hint="eastAsia" w:ascii="宋体" w:hAnsi="宋体" w:eastAsia="宋体" w:cs="宋体"/>
          <w:b/>
          <w:bCs/>
          <w:color w:val="000000"/>
          <w:sz w:val="21"/>
          <w:szCs w:val="21"/>
        </w:rPr>
        <w:t>2 检验依据</w:t>
      </w:r>
    </w:p>
    <w:p>
      <w:pPr>
        <w:keepNext w:val="0"/>
        <w:keepLines w:val="0"/>
        <w:pageBreakBefore w:val="0"/>
        <w:widowControl w:val="0"/>
        <w:kinsoku/>
        <w:wordWrap/>
        <w:overflowPunct/>
        <w:topLinePunct w:val="0"/>
        <w:autoSpaceDE/>
        <w:autoSpaceDN/>
        <w:bidi w:val="0"/>
        <w:snapToGrid w:val="0"/>
        <w:spacing w:line="360" w:lineRule="auto"/>
        <w:jc w:val="center"/>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rPr>
        <w:t xml:space="preserve">表1 </w:t>
      </w:r>
      <w:r>
        <w:rPr>
          <w:rFonts w:hint="eastAsia" w:ascii="宋体" w:hAnsi="宋体" w:cs="宋体"/>
          <w:color w:val="000000"/>
          <w:sz w:val="21"/>
          <w:szCs w:val="21"/>
          <w:lang w:val="en-US" w:eastAsia="zh-CN"/>
        </w:rPr>
        <w:t>灭火器检验</w:t>
      </w:r>
      <w:r>
        <w:rPr>
          <w:rFonts w:hint="eastAsia" w:ascii="宋体" w:hAnsi="宋体" w:eastAsia="宋体" w:cs="宋体"/>
          <w:color w:val="000000"/>
          <w:sz w:val="21"/>
          <w:szCs w:val="21"/>
          <w:highlight w:val="none"/>
          <w:lang w:val="en-US" w:eastAsia="zh-CN"/>
        </w:rPr>
        <w:t>项目</w:t>
      </w:r>
    </w:p>
    <w:tbl>
      <w:tblPr>
        <w:tblStyle w:val="9"/>
        <w:tblW w:w="458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27"/>
        <w:gridCol w:w="3667"/>
        <w:gridCol w:w="4239"/>
        <w:gridCol w:w="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672" w:type="pct"/>
            <w:noWrap w:val="0"/>
            <w:vAlign w:val="center"/>
          </w:tcPr>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rPr>
                <w:rFonts w:hint="eastAsia" w:ascii="宋体" w:hAnsi="宋体" w:eastAsia="宋体" w:cs="宋体"/>
                <w:color w:val="000000"/>
                <w:sz w:val="21"/>
                <w:szCs w:val="21"/>
              </w:rPr>
            </w:pPr>
            <w:r>
              <w:rPr>
                <w:rFonts w:hint="eastAsia" w:ascii="宋体" w:hAnsi="宋体" w:eastAsia="宋体" w:cs="宋体"/>
                <w:color w:val="000000"/>
                <w:sz w:val="21"/>
                <w:szCs w:val="21"/>
              </w:rPr>
              <w:t>序号</w:t>
            </w:r>
          </w:p>
        </w:tc>
        <w:tc>
          <w:tcPr>
            <w:tcW w:w="2006" w:type="pct"/>
            <w:noWrap w:val="0"/>
            <w:vAlign w:val="center"/>
          </w:tcPr>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rPr>
                <w:rFonts w:hint="eastAsia" w:ascii="宋体" w:hAnsi="宋体" w:eastAsia="宋体" w:cs="宋体"/>
                <w:color w:val="000000"/>
                <w:sz w:val="21"/>
                <w:szCs w:val="21"/>
              </w:rPr>
            </w:pPr>
            <w:r>
              <w:rPr>
                <w:rFonts w:hint="eastAsia" w:ascii="宋体" w:hAnsi="宋体" w:eastAsia="宋体" w:cs="宋体"/>
                <w:color w:val="000000"/>
                <w:sz w:val="21"/>
                <w:szCs w:val="21"/>
              </w:rPr>
              <w:t>检验项目</w:t>
            </w:r>
          </w:p>
        </w:tc>
        <w:tc>
          <w:tcPr>
            <w:tcW w:w="2321" w:type="pct"/>
            <w:gridSpan w:val="2"/>
            <w:noWrap w:val="0"/>
            <w:vAlign w:val="center"/>
          </w:tcPr>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rPr>
                <w:rFonts w:hint="eastAsia" w:ascii="宋体" w:hAnsi="宋体" w:eastAsia="宋体" w:cs="宋体"/>
                <w:color w:val="000000"/>
                <w:sz w:val="21"/>
                <w:szCs w:val="21"/>
              </w:rPr>
            </w:pPr>
            <w:r>
              <w:rPr>
                <w:rFonts w:hint="eastAsia" w:ascii="宋体" w:hAnsi="宋体" w:eastAsia="宋体" w:cs="宋体"/>
                <w:color w:val="000000"/>
                <w:sz w:val="21"/>
                <w:szCs w:val="21"/>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 w:type="pct"/>
          <w:trHeight w:val="590" w:hRule="atLeast"/>
          <w:jc w:val="center"/>
        </w:trPr>
        <w:tc>
          <w:tcPr>
            <w:tcW w:w="672" w:type="pct"/>
            <w:noWrap w:val="0"/>
            <w:vAlign w:val="center"/>
          </w:tcPr>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rPr>
                <w:rFonts w:hint="eastAsia" w:ascii="宋体" w:hAnsi="宋体" w:eastAsia="宋体" w:cs="宋体"/>
                <w:color w:val="000000"/>
                <w:sz w:val="21"/>
                <w:szCs w:val="21"/>
              </w:rPr>
            </w:pPr>
            <w:r>
              <w:rPr>
                <w:rFonts w:hint="eastAsia" w:ascii="宋体" w:hAnsi="宋体" w:eastAsia="宋体" w:cs="宋体"/>
                <w:color w:val="000000"/>
                <w:sz w:val="21"/>
                <w:szCs w:val="21"/>
                <w:lang w:val="en-US" w:eastAsia="zh-CN"/>
              </w:rPr>
              <w:t>1</w:t>
            </w:r>
          </w:p>
        </w:tc>
        <w:tc>
          <w:tcPr>
            <w:tcW w:w="2006" w:type="pct"/>
            <w:noWrap w:val="0"/>
            <w:vAlign w:val="center"/>
          </w:tcPr>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灭火器的总质量</w:t>
            </w:r>
          </w:p>
        </w:tc>
        <w:tc>
          <w:tcPr>
            <w:tcW w:w="4238" w:type="dxa"/>
            <w:noWrap w:val="0"/>
            <w:vAlign w:val="center"/>
          </w:tcPr>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GB 4351.1-2005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 w:type="pct"/>
          <w:trHeight w:val="590" w:hRule="atLeast"/>
          <w:jc w:val="center"/>
        </w:trPr>
        <w:tc>
          <w:tcPr>
            <w:tcW w:w="672" w:type="pct"/>
            <w:noWrap w:val="0"/>
            <w:vAlign w:val="center"/>
          </w:tcPr>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rPr>
                <w:rFonts w:hint="eastAsia" w:ascii="宋体" w:hAnsi="宋体" w:eastAsia="宋体" w:cs="宋体"/>
                <w:color w:val="000000"/>
                <w:sz w:val="21"/>
                <w:szCs w:val="21"/>
              </w:rPr>
            </w:pPr>
            <w:r>
              <w:rPr>
                <w:rFonts w:hint="eastAsia" w:ascii="宋体" w:hAnsi="宋体" w:eastAsia="宋体" w:cs="宋体"/>
                <w:color w:val="000000"/>
                <w:sz w:val="21"/>
                <w:szCs w:val="21"/>
                <w:lang w:val="en-US" w:eastAsia="zh-CN"/>
              </w:rPr>
              <w:t>2</w:t>
            </w:r>
          </w:p>
        </w:tc>
        <w:tc>
          <w:tcPr>
            <w:tcW w:w="2006" w:type="pct"/>
            <w:noWrap w:val="0"/>
            <w:vAlign w:val="center"/>
          </w:tcPr>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灭火剂充装总量误差</w:t>
            </w:r>
          </w:p>
        </w:tc>
        <w:tc>
          <w:tcPr>
            <w:tcW w:w="4238" w:type="dxa"/>
            <w:noWrap w:val="0"/>
            <w:vAlign w:val="center"/>
          </w:tcPr>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GB 4351.1-2005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 w:type="pct"/>
          <w:trHeight w:val="590" w:hRule="atLeast"/>
          <w:jc w:val="center"/>
        </w:trPr>
        <w:tc>
          <w:tcPr>
            <w:tcW w:w="672" w:type="pct"/>
            <w:noWrap w:val="0"/>
            <w:vAlign w:val="center"/>
          </w:tcPr>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rPr>
                <w:rFonts w:hint="eastAsia" w:ascii="宋体" w:hAnsi="宋体" w:eastAsia="宋体" w:cs="宋体"/>
                <w:color w:val="000000"/>
                <w:sz w:val="21"/>
                <w:szCs w:val="21"/>
              </w:rPr>
            </w:pPr>
            <w:r>
              <w:rPr>
                <w:rFonts w:hint="eastAsia" w:ascii="宋体" w:hAnsi="宋体" w:eastAsia="宋体" w:cs="宋体"/>
                <w:color w:val="000000"/>
                <w:sz w:val="21"/>
                <w:szCs w:val="21"/>
                <w:lang w:val="en-US" w:eastAsia="zh-CN"/>
              </w:rPr>
              <w:t>3</w:t>
            </w:r>
          </w:p>
        </w:tc>
        <w:tc>
          <w:tcPr>
            <w:tcW w:w="2006" w:type="pct"/>
            <w:noWrap w:val="0"/>
            <w:vAlign w:val="center"/>
          </w:tcPr>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筒体水压试验</w:t>
            </w:r>
          </w:p>
        </w:tc>
        <w:tc>
          <w:tcPr>
            <w:tcW w:w="4238" w:type="dxa"/>
            <w:noWrap w:val="0"/>
            <w:vAlign w:val="center"/>
          </w:tcPr>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GB 4351.1-2005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 w:type="pct"/>
          <w:trHeight w:val="590" w:hRule="atLeast"/>
          <w:jc w:val="center"/>
        </w:trPr>
        <w:tc>
          <w:tcPr>
            <w:tcW w:w="672" w:type="pct"/>
            <w:noWrap w:val="0"/>
            <w:vAlign w:val="center"/>
          </w:tcPr>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rPr>
                <w:rFonts w:hint="eastAsia" w:ascii="宋体" w:hAnsi="宋体" w:eastAsia="宋体" w:cs="宋体"/>
                <w:color w:val="000000"/>
                <w:sz w:val="21"/>
                <w:szCs w:val="21"/>
              </w:rPr>
            </w:pPr>
            <w:r>
              <w:rPr>
                <w:rFonts w:hint="eastAsia" w:ascii="宋体" w:hAnsi="宋体" w:eastAsia="宋体" w:cs="宋体"/>
                <w:color w:val="000000"/>
                <w:sz w:val="21"/>
                <w:szCs w:val="21"/>
                <w:lang w:val="en-US" w:eastAsia="zh-CN"/>
              </w:rPr>
              <w:t>4</w:t>
            </w:r>
          </w:p>
        </w:tc>
        <w:tc>
          <w:tcPr>
            <w:tcW w:w="2006" w:type="pct"/>
            <w:noWrap w:val="0"/>
            <w:vAlign w:val="center"/>
          </w:tcPr>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筒体爆破压力</w:t>
            </w:r>
          </w:p>
        </w:tc>
        <w:tc>
          <w:tcPr>
            <w:tcW w:w="4238" w:type="dxa"/>
            <w:noWrap w:val="0"/>
            <w:vAlign w:val="center"/>
          </w:tcPr>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GB 4351.1-2005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 w:type="pct"/>
          <w:trHeight w:val="590" w:hRule="atLeast"/>
          <w:jc w:val="center"/>
        </w:trPr>
        <w:tc>
          <w:tcPr>
            <w:tcW w:w="672" w:type="pct"/>
            <w:noWrap w:val="0"/>
            <w:vAlign w:val="center"/>
          </w:tcPr>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rPr>
                <w:rFonts w:hint="default"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5</w:t>
            </w:r>
          </w:p>
        </w:tc>
        <w:tc>
          <w:tcPr>
            <w:tcW w:w="2006" w:type="pct"/>
            <w:noWrap w:val="0"/>
            <w:vAlign w:val="center"/>
          </w:tcPr>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充装口内径</w:t>
            </w:r>
          </w:p>
        </w:tc>
        <w:tc>
          <w:tcPr>
            <w:tcW w:w="4238" w:type="dxa"/>
            <w:noWrap w:val="0"/>
            <w:vAlign w:val="center"/>
          </w:tcPr>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GB 4351.1-2005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 w:type="pct"/>
          <w:trHeight w:val="590" w:hRule="atLeast"/>
          <w:jc w:val="center"/>
        </w:trPr>
        <w:tc>
          <w:tcPr>
            <w:tcW w:w="672" w:type="pct"/>
            <w:noWrap w:val="0"/>
            <w:vAlign w:val="center"/>
          </w:tcPr>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rPr>
                <w:rFonts w:hint="default"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6</w:t>
            </w:r>
          </w:p>
        </w:tc>
        <w:tc>
          <w:tcPr>
            <w:tcW w:w="2006" w:type="pct"/>
            <w:noWrap w:val="0"/>
            <w:vAlign w:val="center"/>
          </w:tcPr>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灭火器提把和压把</w:t>
            </w:r>
          </w:p>
        </w:tc>
        <w:tc>
          <w:tcPr>
            <w:tcW w:w="4238" w:type="dxa"/>
            <w:noWrap w:val="0"/>
            <w:vAlign w:val="center"/>
          </w:tcPr>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GB 4351.1-2005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 w:type="pct"/>
          <w:trHeight w:val="590" w:hRule="atLeast"/>
          <w:jc w:val="center"/>
        </w:trPr>
        <w:tc>
          <w:tcPr>
            <w:tcW w:w="672" w:type="pct"/>
            <w:noWrap w:val="0"/>
            <w:vAlign w:val="center"/>
          </w:tcPr>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rPr>
                <w:rFonts w:hint="default"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7</w:t>
            </w:r>
          </w:p>
        </w:tc>
        <w:tc>
          <w:tcPr>
            <w:tcW w:w="2006" w:type="pct"/>
            <w:noWrap w:val="0"/>
            <w:vAlign w:val="center"/>
          </w:tcPr>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20℃温度喷射性能</w:t>
            </w:r>
          </w:p>
        </w:tc>
        <w:tc>
          <w:tcPr>
            <w:tcW w:w="4238" w:type="dxa"/>
            <w:noWrap w:val="0"/>
            <w:vAlign w:val="center"/>
          </w:tcPr>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GB 4351.1-2005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 w:type="pct"/>
          <w:trHeight w:val="590" w:hRule="atLeast"/>
          <w:jc w:val="center"/>
        </w:trPr>
        <w:tc>
          <w:tcPr>
            <w:tcW w:w="672" w:type="pct"/>
            <w:noWrap w:val="0"/>
            <w:vAlign w:val="center"/>
          </w:tcPr>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rPr>
                <w:rFonts w:hint="default"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8</w:t>
            </w:r>
          </w:p>
        </w:tc>
        <w:tc>
          <w:tcPr>
            <w:tcW w:w="2006" w:type="pct"/>
            <w:noWrap w:val="0"/>
            <w:vAlign w:val="center"/>
          </w:tcPr>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标志和颜色</w:t>
            </w:r>
          </w:p>
        </w:tc>
        <w:tc>
          <w:tcPr>
            <w:tcW w:w="4238" w:type="dxa"/>
            <w:noWrap w:val="0"/>
            <w:vAlign w:val="center"/>
          </w:tcPr>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GB 4351.1-2005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 w:type="pct"/>
          <w:trHeight w:val="590" w:hRule="atLeast"/>
          <w:jc w:val="center"/>
        </w:trPr>
        <w:tc>
          <w:tcPr>
            <w:tcW w:w="672" w:type="pct"/>
            <w:noWrap w:val="0"/>
            <w:vAlign w:val="center"/>
          </w:tcPr>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rPr>
                <w:rFonts w:hint="default"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9</w:t>
            </w:r>
          </w:p>
        </w:tc>
        <w:tc>
          <w:tcPr>
            <w:tcW w:w="2006" w:type="pct"/>
            <w:noWrap w:val="0"/>
            <w:vAlign w:val="center"/>
          </w:tcPr>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干粉灭火剂主要组分含量（质量分数）</w:t>
            </w:r>
          </w:p>
        </w:tc>
        <w:tc>
          <w:tcPr>
            <w:tcW w:w="4238" w:type="dxa"/>
            <w:noWrap w:val="0"/>
            <w:vAlign w:val="center"/>
          </w:tcPr>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GB 4066-2017</w:t>
            </w:r>
          </w:p>
        </w:tc>
      </w:tr>
    </w:tbl>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lang w:val="en-US" w:eastAsia="zh-CN"/>
        </w:rPr>
        <w:t>注：</w:t>
      </w:r>
      <w:r>
        <w:rPr>
          <w:rFonts w:hint="eastAsia" w:ascii="宋体" w:hAnsi="宋体" w:eastAsia="宋体" w:cs="宋体"/>
          <w:color w:val="000000"/>
          <w:sz w:val="21"/>
          <w:szCs w:val="21"/>
        </w:rPr>
        <w:t>执行企业标准、团体标准、地方标准的产品，检验项目参照上述内容执行。</w:t>
      </w:r>
    </w:p>
    <w:p>
      <w:pPr>
        <w:keepNext w:val="0"/>
        <w:keepLines w:val="0"/>
        <w:pageBreakBefore w:val="0"/>
        <w:widowControl w:val="0"/>
        <w:kinsoku/>
        <w:wordWrap/>
        <w:overflowPunct/>
        <w:topLinePunct w:val="0"/>
        <w:autoSpaceDE/>
        <w:autoSpaceDN/>
        <w:bidi w:val="0"/>
        <w:snapToGrid w:val="0"/>
        <w:spacing w:line="360" w:lineRule="auto"/>
        <w:ind w:firstLine="420" w:firstLineChars="200"/>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凡是注日期的文件，其随后所有的修改单（不包括勘误的内容）或修订版不适用于本细则。凡是不注日期的文件，其最新版本适用于本细则。</w:t>
      </w:r>
    </w:p>
    <w:p>
      <w:pPr>
        <w:keepNext w:val="0"/>
        <w:keepLines w:val="0"/>
        <w:pageBreakBefore w:val="0"/>
        <w:widowControl w:val="0"/>
        <w:kinsoku/>
        <w:wordWrap/>
        <w:overflowPunct/>
        <w:topLinePunct w:val="0"/>
        <w:autoSpaceDE/>
        <w:autoSpaceDN/>
        <w:bidi w:val="0"/>
        <w:snapToGrid w:val="0"/>
        <w:spacing w:line="360" w:lineRule="auto"/>
        <w:ind w:firstLine="420" w:firstLineChars="200"/>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lang w:val="en-US" w:eastAsia="zh-CN"/>
        </w:rPr>
        <w:t>依照有关规定或产品适用标准，需要检测的其他项目，可视情况进行调整。</w:t>
      </w:r>
    </w:p>
    <w:p>
      <w:pPr>
        <w:keepNext w:val="0"/>
        <w:keepLines w:val="0"/>
        <w:pageBreakBefore w:val="0"/>
        <w:widowControl w:val="0"/>
        <w:kinsoku/>
        <w:wordWrap/>
        <w:overflowPunct/>
        <w:topLinePunct w:val="0"/>
        <w:autoSpaceDE/>
        <w:autoSpaceDN/>
        <w:bidi w:val="0"/>
        <w:spacing w:line="360" w:lineRule="auto"/>
        <w:textAlignment w:val="auto"/>
        <w:rPr>
          <w:rFonts w:hint="eastAsia" w:ascii="宋体" w:hAnsi="宋体" w:eastAsia="宋体" w:cs="宋体"/>
          <w:b/>
          <w:bCs/>
          <w:color w:val="000000"/>
          <w:sz w:val="21"/>
          <w:szCs w:val="21"/>
        </w:rPr>
      </w:pPr>
      <w:r>
        <w:rPr>
          <w:rFonts w:hint="eastAsia" w:ascii="宋体" w:hAnsi="宋体" w:eastAsia="宋体" w:cs="宋体"/>
          <w:b/>
          <w:bCs/>
          <w:color w:val="000000"/>
          <w:sz w:val="21"/>
          <w:szCs w:val="21"/>
        </w:rPr>
        <w:t>3 判定规则</w:t>
      </w:r>
    </w:p>
    <w:p>
      <w:pPr>
        <w:keepNext w:val="0"/>
        <w:keepLines w:val="0"/>
        <w:pageBreakBefore w:val="0"/>
        <w:widowControl w:val="0"/>
        <w:kinsoku/>
        <w:wordWrap/>
        <w:overflowPunct/>
        <w:topLinePunct w:val="0"/>
        <w:autoSpaceDE/>
        <w:autoSpaceDN/>
        <w:bidi w:val="0"/>
        <w:snapToGrid w:val="0"/>
        <w:spacing w:line="360" w:lineRule="auto"/>
        <w:textAlignment w:val="auto"/>
        <w:rPr>
          <w:rFonts w:hint="eastAsia" w:ascii="宋体" w:hAnsi="宋体" w:eastAsia="宋体" w:cs="宋体"/>
          <w:b/>
          <w:bCs/>
          <w:color w:val="000000"/>
          <w:sz w:val="21"/>
          <w:szCs w:val="21"/>
        </w:rPr>
      </w:pPr>
      <w:r>
        <w:rPr>
          <w:rFonts w:hint="eastAsia" w:ascii="宋体" w:hAnsi="宋体" w:eastAsia="宋体" w:cs="宋体"/>
          <w:b/>
          <w:bCs/>
          <w:color w:val="000000"/>
          <w:sz w:val="21"/>
          <w:szCs w:val="21"/>
        </w:rPr>
        <w:t>3.1依据标准</w:t>
      </w:r>
    </w:p>
    <w:p>
      <w:pPr>
        <w:keepNext w:val="0"/>
        <w:keepLines w:val="0"/>
        <w:pageBreakBefore w:val="0"/>
        <w:widowControl w:val="0"/>
        <w:kinsoku/>
        <w:wordWrap/>
        <w:overflowPunct/>
        <w:topLinePunct w:val="0"/>
        <w:autoSpaceDE/>
        <w:autoSpaceDN/>
        <w:bidi w:val="0"/>
        <w:snapToGrid w:val="0"/>
        <w:spacing w:line="360" w:lineRule="auto"/>
        <w:ind w:firstLine="420" w:firstLineChars="200"/>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lang w:val="en-US" w:eastAsia="zh-CN"/>
        </w:rPr>
        <w:t>GB 4351.1-2005</w:t>
      </w:r>
      <w:r>
        <w:rPr>
          <w:rFonts w:hint="eastAsia" w:ascii="宋体" w:hAnsi="宋体" w:cs="宋体"/>
          <w:color w:val="000000"/>
          <w:sz w:val="21"/>
          <w:szCs w:val="21"/>
          <w:lang w:val="en-US" w:eastAsia="zh-CN"/>
        </w:rPr>
        <w:t xml:space="preserve">  </w:t>
      </w:r>
      <w:r>
        <w:rPr>
          <w:rFonts w:hint="eastAsia" w:ascii="宋体" w:hAnsi="宋体" w:eastAsia="宋体" w:cs="宋体"/>
          <w:color w:val="000000"/>
          <w:sz w:val="21"/>
          <w:szCs w:val="21"/>
          <w:lang w:val="en-US" w:eastAsia="zh-CN"/>
        </w:rPr>
        <w:t>手提式灭火器 第1部分：性能和结构要求</w:t>
      </w:r>
    </w:p>
    <w:p>
      <w:pPr>
        <w:keepNext w:val="0"/>
        <w:keepLines w:val="0"/>
        <w:pageBreakBefore w:val="0"/>
        <w:widowControl w:val="0"/>
        <w:kinsoku/>
        <w:wordWrap/>
        <w:overflowPunct/>
        <w:topLinePunct w:val="0"/>
        <w:autoSpaceDE/>
        <w:autoSpaceDN/>
        <w:bidi w:val="0"/>
        <w:snapToGrid w:val="0"/>
        <w:spacing w:line="360" w:lineRule="auto"/>
        <w:ind w:firstLine="420" w:firstLineChars="200"/>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相关的法律、行政法规、部门规章、规范性文件</w:t>
      </w:r>
    </w:p>
    <w:p>
      <w:pPr>
        <w:keepNext w:val="0"/>
        <w:keepLines w:val="0"/>
        <w:pageBreakBefore w:val="0"/>
        <w:widowControl w:val="0"/>
        <w:kinsoku/>
        <w:wordWrap/>
        <w:overflowPunct/>
        <w:topLinePunct w:val="0"/>
        <w:autoSpaceDE/>
        <w:autoSpaceDN/>
        <w:bidi w:val="0"/>
        <w:snapToGrid w:val="0"/>
        <w:spacing w:line="360" w:lineRule="auto"/>
        <w:ind w:firstLine="420" w:firstLineChars="200"/>
        <w:textAlignment w:val="auto"/>
        <w:rPr>
          <w:rFonts w:hint="eastAsia" w:ascii="宋体" w:hAnsi="宋体" w:eastAsia="宋体" w:cs="宋体"/>
          <w:color w:val="000000"/>
          <w:sz w:val="21"/>
          <w:szCs w:val="21"/>
          <w:lang w:eastAsia="zh-CN"/>
        </w:rPr>
      </w:pPr>
      <w:r>
        <w:rPr>
          <w:rFonts w:hint="eastAsia" w:ascii="宋体" w:hAnsi="宋体" w:eastAsia="宋体" w:cs="宋体"/>
          <w:color w:val="000000"/>
          <w:sz w:val="21"/>
          <w:szCs w:val="21"/>
        </w:rPr>
        <w:t>现行有效的企业标准、团体标准、地方标准及产品明示质量要求</w:t>
      </w:r>
      <w:r>
        <w:rPr>
          <w:rFonts w:hint="eastAsia" w:ascii="宋体" w:hAnsi="宋体" w:eastAsia="宋体" w:cs="宋体"/>
          <w:color w:val="000000"/>
          <w:sz w:val="21"/>
          <w:szCs w:val="21"/>
          <w:lang w:eastAsia="zh-CN"/>
        </w:rPr>
        <w:t>。</w:t>
      </w:r>
    </w:p>
    <w:p>
      <w:pPr>
        <w:keepNext w:val="0"/>
        <w:keepLines w:val="0"/>
        <w:pageBreakBefore w:val="0"/>
        <w:widowControl w:val="0"/>
        <w:kinsoku/>
        <w:wordWrap/>
        <w:overflowPunct/>
        <w:topLinePunct w:val="0"/>
        <w:autoSpaceDE/>
        <w:autoSpaceDN/>
        <w:bidi w:val="0"/>
        <w:snapToGrid w:val="0"/>
        <w:spacing w:line="360" w:lineRule="auto"/>
        <w:textAlignment w:val="auto"/>
        <w:rPr>
          <w:rFonts w:hint="eastAsia" w:ascii="宋体" w:hAnsi="宋体" w:eastAsia="宋体" w:cs="宋体"/>
          <w:b/>
          <w:bCs/>
          <w:color w:val="000000"/>
          <w:sz w:val="21"/>
          <w:szCs w:val="21"/>
        </w:rPr>
      </w:pPr>
      <w:r>
        <w:rPr>
          <w:rFonts w:hint="eastAsia" w:ascii="宋体" w:hAnsi="宋体" w:eastAsia="宋体" w:cs="宋体"/>
          <w:b/>
          <w:bCs/>
          <w:color w:val="000000"/>
          <w:sz w:val="21"/>
          <w:szCs w:val="21"/>
        </w:rPr>
        <w:t>3.2判定原则</w:t>
      </w:r>
    </w:p>
    <w:p>
      <w:pPr>
        <w:keepNext w:val="0"/>
        <w:keepLines w:val="0"/>
        <w:pageBreakBefore w:val="0"/>
        <w:widowControl w:val="0"/>
        <w:kinsoku/>
        <w:wordWrap/>
        <w:overflowPunct/>
        <w:topLinePunct w:val="0"/>
        <w:autoSpaceDE/>
        <w:autoSpaceDN/>
        <w:bidi w:val="0"/>
        <w:snapToGrid w:val="0"/>
        <w:spacing w:line="360" w:lineRule="auto"/>
        <w:ind w:firstLine="420" w:firstLineChars="200"/>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经检验，检验项目全部合格，判定为被抽查产品所检项目未发现不合格；检验项目中任一项或一项以上不合格，判定为被抽查产品不合格。</w:t>
      </w:r>
    </w:p>
    <w:p>
      <w:pPr>
        <w:keepNext w:val="0"/>
        <w:keepLines w:val="0"/>
        <w:pageBreakBefore w:val="0"/>
        <w:widowControl w:val="0"/>
        <w:kinsoku/>
        <w:wordWrap/>
        <w:overflowPunct/>
        <w:topLinePunct w:val="0"/>
        <w:autoSpaceDE/>
        <w:autoSpaceDN/>
        <w:bidi w:val="0"/>
        <w:snapToGrid w:val="0"/>
        <w:spacing w:line="360" w:lineRule="auto"/>
        <w:ind w:firstLine="417" w:firstLineChars="199"/>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若被检产品明示的质量要求高于本细则中检验项目依据的标准要求时，应按被检产品明示的质量要求判定。</w:t>
      </w:r>
    </w:p>
    <w:p>
      <w:pPr>
        <w:keepNext w:val="0"/>
        <w:keepLines w:val="0"/>
        <w:pageBreakBefore w:val="0"/>
        <w:widowControl w:val="0"/>
        <w:kinsoku/>
        <w:wordWrap/>
        <w:overflowPunct/>
        <w:topLinePunct w:val="0"/>
        <w:autoSpaceDE/>
        <w:autoSpaceDN/>
        <w:bidi w:val="0"/>
        <w:snapToGrid w:val="0"/>
        <w:spacing w:line="360" w:lineRule="auto"/>
        <w:ind w:firstLine="417" w:firstLineChars="199"/>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若被检产品明示的质量要求低于本细则中检验项目依据的强制性标准要求时，应按照强制性标准要求判定。</w:t>
      </w:r>
    </w:p>
    <w:p>
      <w:pPr>
        <w:keepNext w:val="0"/>
        <w:keepLines w:val="0"/>
        <w:pageBreakBefore w:val="0"/>
        <w:widowControl w:val="0"/>
        <w:kinsoku/>
        <w:wordWrap/>
        <w:overflowPunct/>
        <w:topLinePunct w:val="0"/>
        <w:autoSpaceDE/>
        <w:autoSpaceDN/>
        <w:bidi w:val="0"/>
        <w:snapToGrid w:val="0"/>
        <w:spacing w:line="360" w:lineRule="auto"/>
        <w:ind w:firstLine="417" w:firstLineChars="199"/>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若被检产品明示的质量要求低于或包含本细则中检验项目依据的推荐性标准要求时，应以被检产品明示的质量要求判定。</w:t>
      </w:r>
    </w:p>
    <w:p>
      <w:pPr>
        <w:keepNext w:val="0"/>
        <w:keepLines w:val="0"/>
        <w:pageBreakBefore w:val="0"/>
        <w:widowControl w:val="0"/>
        <w:kinsoku/>
        <w:wordWrap/>
        <w:overflowPunct/>
        <w:topLinePunct w:val="0"/>
        <w:autoSpaceDE/>
        <w:autoSpaceDN/>
        <w:bidi w:val="0"/>
        <w:snapToGrid w:val="0"/>
        <w:spacing w:line="360" w:lineRule="auto"/>
        <w:ind w:firstLine="417" w:firstLineChars="199"/>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若被检产品明示的质量要求缺少本细则中检验项目依据的强制性标准要求时，应按照强制性标准要求判定。</w:t>
      </w:r>
    </w:p>
    <w:p>
      <w:pPr>
        <w:keepNext w:val="0"/>
        <w:keepLines w:val="0"/>
        <w:pageBreakBefore w:val="0"/>
        <w:widowControl w:val="0"/>
        <w:kinsoku/>
        <w:wordWrap/>
        <w:overflowPunct/>
        <w:topLinePunct w:val="0"/>
        <w:autoSpaceDE/>
        <w:autoSpaceDN/>
        <w:bidi w:val="0"/>
        <w:snapToGrid w:val="0"/>
        <w:spacing w:line="360" w:lineRule="auto"/>
        <w:ind w:firstLine="417" w:firstLineChars="199"/>
        <w:textAlignment w:val="auto"/>
        <w:rPr>
          <w:sz w:val="21"/>
          <w:szCs w:val="21"/>
        </w:rPr>
      </w:pPr>
      <w:r>
        <w:rPr>
          <w:rFonts w:hint="eastAsia" w:ascii="宋体" w:hAnsi="宋体" w:eastAsia="宋体" w:cs="宋体"/>
          <w:color w:val="000000"/>
          <w:sz w:val="21"/>
          <w:szCs w:val="21"/>
        </w:rPr>
        <w:t>若被检产品明示的质量要求缺少本细则中检验项目依据的推荐性标准要求时，该项目不参与判定。</w:t>
      </w:r>
    </w:p>
    <w:bookmarkEnd w:id="0"/>
    <w:sectPr>
      <w:footerReference r:id="rId3" w:type="default"/>
      <w:pgSz w:w="11906" w:h="16838"/>
      <w:pgMar w:top="1440" w:right="1080" w:bottom="1440" w:left="1080"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86"/>
    <w:family w:val="auto"/>
    <w:pitch w:val="default"/>
    <w:sig w:usb0="00000000" w:usb1="00000000" w:usb2="00000009" w:usb3="00000000" w:csb0="400001FF" w:csb1="FFFF0000"/>
  </w:font>
  <w:font w:name="宋体">
    <w:altName w:val="方正书宋_GBK"/>
    <w:panose1 w:val="02010600030101010101"/>
    <w:charset w:val="50"/>
    <w:family w:val="auto"/>
    <w:pitch w:val="default"/>
    <w:sig w:usb0="00000000" w:usb1="0000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Nimbus Roman No9 L">
    <w:panose1 w:val="00000000000000000000"/>
    <w:charset w:val="00"/>
    <w:family w:val="auto"/>
    <w:pitch w:val="default"/>
    <w:sig w:usb0="00000000" w:usb1="00000000" w:usb2="00000000" w:usb3="00000000" w:csb0="00000000" w:csb1="00000000"/>
  </w:font>
  <w:font w:name="Calibri">
    <w:altName w:val="DejaVu Sans"/>
    <w:panose1 w:val="020F0502020204030204"/>
    <w:charset w:val="00"/>
    <w:family w:val="swiss"/>
    <w:pitch w:val="default"/>
    <w:sig w:usb0="00000000" w:usb1="00000000" w:usb2="00000001" w:usb3="00000000" w:csb0="0000019F" w:csb1="00000000"/>
  </w:font>
  <w:font w:name="DejaVu Sans">
    <w:panose1 w:val="020B0603030804020204"/>
    <w:charset w:val="00"/>
    <w:family w:val="auto"/>
    <w:pitch w:val="default"/>
    <w:sig w:usb0="E7006EFF" w:usb1="D200FDFF" w:usb2="0A246029" w:usb3="0400200C" w:csb0="600001FF" w:csb1="DFFF0000"/>
  </w:font>
  <w:font w:name="方正书宋_GBK">
    <w:panose1 w:val="02000000000000000000"/>
    <w:charset w:val="86"/>
    <w:family w:val="auto"/>
    <w:pitch w:val="default"/>
    <w:sig w:usb0="00000001" w:usb1="08000000" w:usb2="00000000" w:usb3="00000000" w:csb0="00040000" w:csb1="00000000"/>
  </w:font>
  <w:font w:name="方正小标宋简体">
    <w:panose1 w:val="02000000000000000000"/>
    <w:charset w:val="86"/>
    <w:family w:val="auto"/>
    <w:pitch w:val="default"/>
    <w:sig w:usb0="A00002BF" w:usb1="184F6CFA" w:usb2="00000012" w:usb3="00000000" w:csb0="00040001" w:csb1="00000000"/>
  </w:font>
  <w:font w:name="华文楷体">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QyZmVmNmUxZGUyMzc3ZjhlODU5MjM4M2Q2Y2I3YmQifQ=="/>
  </w:docVars>
  <w:rsids>
    <w:rsidRoot w:val="22C337A6"/>
    <w:rsid w:val="06754ABC"/>
    <w:rsid w:val="07C07DED"/>
    <w:rsid w:val="1AB77710"/>
    <w:rsid w:val="1C4A63E6"/>
    <w:rsid w:val="1D453084"/>
    <w:rsid w:val="1E722574"/>
    <w:rsid w:val="22C337A6"/>
    <w:rsid w:val="28176E61"/>
    <w:rsid w:val="292F39A1"/>
    <w:rsid w:val="3AFD7B69"/>
    <w:rsid w:val="3BF75194"/>
    <w:rsid w:val="3DF051B2"/>
    <w:rsid w:val="405B1B49"/>
    <w:rsid w:val="64451C8F"/>
    <w:rsid w:val="64BC527A"/>
    <w:rsid w:val="6A01690F"/>
    <w:rsid w:val="6B996E4A"/>
    <w:rsid w:val="6CA00C3D"/>
    <w:rsid w:val="6F761AC8"/>
    <w:rsid w:val="76DA1DC9"/>
    <w:rsid w:val="77FD156E"/>
    <w:rsid w:val="7C6C3BB0"/>
    <w:rsid w:val="7DFA3EBD"/>
    <w:rsid w:val="FFEEB0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99" w:semiHidden="0" w:name="Body Text First Indent"/>
    <w:lsdException w:qFormat="1" w:unhideWhenUsed="0"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99"/>
    <w:pPr>
      <w:spacing w:after="120"/>
    </w:pPr>
    <w:rPr>
      <w:rFonts w:ascii="宋体" w:hAnsi="宋体"/>
      <w:kern w:val="0"/>
      <w:sz w:val="20"/>
      <w:szCs w:val="24"/>
    </w:rPr>
  </w:style>
  <w:style w:type="paragraph" w:styleId="3">
    <w:name w:val="Body Text Indent"/>
    <w:basedOn w:val="1"/>
    <w:next w:val="4"/>
    <w:qFormat/>
    <w:uiPriority w:val="99"/>
    <w:pPr>
      <w:spacing w:after="120"/>
      <w:ind w:left="420" w:leftChars="200"/>
    </w:pPr>
    <w:rPr>
      <w:kern w:val="0"/>
      <w:sz w:val="20"/>
    </w:rPr>
  </w:style>
  <w:style w:type="paragraph" w:styleId="4">
    <w:name w:val="Body Text First Indent 2"/>
    <w:basedOn w:val="3"/>
    <w:next w:val="5"/>
    <w:qFormat/>
    <w:uiPriority w:val="99"/>
    <w:pPr>
      <w:ind w:firstLine="420" w:firstLineChars="200"/>
    </w:pPr>
    <w:rPr>
      <w:szCs w:val="24"/>
    </w:rPr>
  </w:style>
  <w:style w:type="paragraph" w:styleId="5">
    <w:name w:val="Body Text First Indent"/>
    <w:basedOn w:val="2"/>
    <w:next w:val="4"/>
    <w:qFormat/>
    <w:uiPriority w:val="99"/>
    <w:pPr>
      <w:ind w:firstLine="420" w:firstLineChars="100"/>
    </w:pPr>
  </w:style>
  <w:style w:type="paragraph" w:styleId="6">
    <w:name w:val="footer"/>
    <w:basedOn w:val="1"/>
    <w:unhideWhenUsed/>
    <w:qFormat/>
    <w:uiPriority w:val="99"/>
    <w:pPr>
      <w:tabs>
        <w:tab w:val="center" w:pos="4153"/>
        <w:tab w:val="right" w:pos="8306"/>
      </w:tabs>
      <w:snapToGrid w:val="0"/>
      <w:jc w:val="left"/>
    </w:pPr>
    <w:rPr>
      <w:sz w:val="18"/>
      <w:szCs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8">
    <w:name w:val="toc 1"/>
    <w:basedOn w:val="1"/>
    <w:next w:val="1"/>
    <w:qFormat/>
    <w:uiPriority w:val="0"/>
  </w:style>
  <w:style w:type="paragraph" w:customStyle="1" w:styleId="11">
    <w:name w:val="列出段落1"/>
    <w:basedOn w:val="1"/>
    <w:qFormat/>
    <w:uiPriority w:val="34"/>
    <w:pPr>
      <w:ind w:firstLine="420" w:firstLineChars="200"/>
    </w:pPr>
    <w:rPr>
      <w:rFonts w:ascii="Calibri" w:hAnsi="Calibri"/>
      <w:szCs w:val="22"/>
    </w:rPr>
  </w:style>
  <w:style w:type="table" w:customStyle="1" w:styleId="12">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694</Words>
  <Characters>778</Characters>
  <Lines>0</Lines>
  <Paragraphs>0</Paragraphs>
  <TotalTime>1</TotalTime>
  <ScaleCrop>false</ScaleCrop>
  <LinksUpToDate>false</LinksUpToDate>
  <CharactersWithSpaces>792</CharactersWithSpaces>
  <Application>WPS Office_11.8.2.1129_F1E327BC-269C-435d-A152-05C5408002CA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2023-10-13T16:13:00Z</dcterms:created>
  <dc:creator>山在那里</dc:creator>
  <cp:lastModifiedBy>scj</cp:lastModifiedBy>
  <dcterms:modified xsi:type="dcterms:W3CDTF">2024-08-19T21:33:05Z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2052-11.8.2.1129</vt:lpwstr>
  </property>
  <property fmtid="{D5CDD505-2E9C-101B-9397-08002B2CF9AE}" pid="3" name="ICV">
    <vt:lpwstr>11DFA0E521C540BF882E9825BDE0825C_11</vt:lpwstr>
  </property>
</Properties>
</file>