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附件1</w:t>
      </w:r>
    </w:p>
    <w:p>
      <w:pPr>
        <w:adjustRightInd w:val="0"/>
        <w:snapToGrid w:val="0"/>
        <w:spacing w:before="143" w:beforeLines="50" w:after="143" w:afterLines="50" w:line="600" w:lineRule="exact"/>
        <w:ind w:left="0"/>
        <w:jc w:val="center"/>
        <w:rPr>
          <w:rFonts w:ascii="方正小标宋简体" w:eastAsia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焦作市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校园食品安全守护行动工作情况统计表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8" w:beforeLines="100" w:after="144" w:afterLines="50" w:line="340" w:lineRule="exact"/>
        <w:ind w:left="0"/>
        <w:textAlignment w:val="auto"/>
        <w:rPr>
          <w:rFonts w:ascii="楷体_GB2312" w:hAnsi="楷体_GB2312" w:eastAsia="楷体_GB2312" w:cs="楷体_GB2312"/>
          <w:color w:val="333333"/>
          <w:sz w:val="24"/>
        </w:rPr>
      </w:pPr>
      <w:r>
        <w:rPr>
          <w:rFonts w:hint="eastAsia" w:ascii="楷体_GB2312" w:hAnsi="楷体_GB2312" w:eastAsia="楷体_GB2312" w:cs="楷体_GB2312"/>
          <w:color w:val="333333"/>
          <w:sz w:val="24"/>
        </w:rPr>
        <w:t>填报单位：                                     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4" w:afterLines="50" w:line="340" w:lineRule="exact"/>
        <w:ind w:left="0"/>
        <w:textAlignment w:val="auto"/>
        <w:rPr>
          <w:rFonts w:ascii="楷体_GB2312" w:hAnsi="楷体_GB2312" w:eastAsia="楷体_GB2312" w:cs="楷体_GB2312"/>
          <w:color w:val="333333"/>
          <w:sz w:val="24"/>
        </w:rPr>
      </w:pPr>
      <w:r>
        <w:rPr>
          <w:rFonts w:hint="eastAsia" w:ascii="楷体_GB2312" w:hAnsi="楷体_GB2312" w:eastAsia="楷体_GB2312" w:cs="楷体_GB2312"/>
          <w:color w:val="333333"/>
          <w:sz w:val="24"/>
        </w:rPr>
        <w:t>填 报 人：                                     联系电话：</w:t>
      </w:r>
    </w:p>
    <w:tbl>
      <w:tblPr>
        <w:tblStyle w:val="3"/>
        <w:tblW w:w="91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1581"/>
        <w:gridCol w:w="4723"/>
        <w:gridCol w:w="15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Header/>
          <w:jc w:val="center"/>
        </w:trPr>
        <w:tc>
          <w:tcPr>
            <w:tcW w:w="75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辖区内持证学校食堂数（家）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实施4D、6S等食品安全管理的单位数（家）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 w:firstLine="24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建立HACCP或ISO22000管理体系的单位数（家）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 w:firstLine="24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实施“明厨亮灶”数（家）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 w:firstLine="477" w:firstLineChars="199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其中：视频式展示（家）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      互联网式展示（家）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辖区内持证学生集体用餐配送单位数（家）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 w:firstLine="24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供应的学校数（个）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 w:firstLine="24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建立HACCP或ISO22000管理体系的单位数（家）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 w:firstLine="24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通过HACCP或ISO22000管理体系认证的单位数（家）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 w:firstLine="240" w:firstLineChars="10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实施“明厨亮灶”数（家）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 w:firstLine="472" w:firstLineChars="197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其中：互联网式展示（家）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从业人员注册“豫食考核APP”人数（人）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从业人员使用“豫食考核APP”自我培训、考试情况（人次）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监管人员使用“豫食考核APP”抽查考试情况（人次）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督促整改</w:t>
            </w:r>
          </w:p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5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学校食堂整改问题数量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原料进货查验把关不严格（家）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食品加工制作行为不规范（家）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餐具用具清洗消毒不彻底（家）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加工制作环境不清洁（家）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其他食品安全问题（家）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供餐单位整改问题数量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原料进货查验把关不严格（家）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食品加工制作行为不规范（家）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督促整改</w:t>
            </w:r>
          </w:p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5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供餐单位整改问题数量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餐具用具清洗消毒不彻底（家）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加工制作环境不清洁（家）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食品分餐配送过程不合规（家）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其他食品安全问题（家）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监督检查和案件查处</w:t>
            </w:r>
          </w:p>
          <w:p>
            <w:pPr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监督检查数（户次）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下达责令改正通知书（份）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行政处罚立案数（起）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罚没金额（万元）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吊销许可证（家）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取缔无证经营（家）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移送公安机关案件数（起）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刑事立案数（起）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733414C6"/>
    <w:rsid w:val="7334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spacing w:line="240" w:lineRule="auto"/>
      <w:ind w:left="0" w:firstLine="420" w:firstLineChars="200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2023-01-12T02:38:00Z</dcterms:created>
  <dc:creator>Administrator</dc:creator>
  <cp:lastModifiedBy>Administrator</cp:lastModifiedBy>
  <dcterms:modified xsi:type="dcterms:W3CDTF">2023-01-12T02:39:10Z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B12886E9CF634F3598F687F816376D91</vt:lpwstr>
  </property>
</Properties>
</file>