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top"/>
        <w:rPr>
          <w:rFonts w:hint="eastAsia" w:ascii="仿宋_GB2312" w:hAnsi="仿宋_GB2312" w:eastAsia="仿宋_GB2312" w:cs="仿宋_GB2312"/>
          <w:sz w:val="24"/>
          <w:lang w:val="en-US" w:eastAsia="zh-CN"/>
        </w:rPr>
      </w:pPr>
      <w:r>
        <w:rPr>
          <w:rFonts w:hint="eastAsia" w:ascii="黑体" w:hAnsi="黑体" w:eastAsia="黑体" w:cs="黑体"/>
          <w:sz w:val="32"/>
          <w:szCs w:val="32"/>
          <w:lang w:val="en-US" w:eastAsia="zh-CN"/>
        </w:rPr>
        <w:t>附件4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lang w:val="en-US" w:eastAsia="zh-CN"/>
        </w:rPr>
        <w:t xml:space="preserve">        </w:t>
      </w:r>
      <w:r>
        <w:rPr>
          <w:rFonts w:hint="eastAsia" w:ascii="方正小标宋简体" w:hAnsi="方正小标宋简体" w:eastAsia="方正小标宋简体" w:cs="方正小标宋简体"/>
          <w:sz w:val="44"/>
          <w:szCs w:val="44"/>
          <w:lang w:val="en-US" w:eastAsia="zh-CN"/>
        </w:rPr>
        <w:t>焦作市市场监管领域从轻处罚事项清单</w:t>
      </w:r>
      <w:r>
        <w:rPr>
          <w:rFonts w:hint="eastAsia" w:ascii="仿宋_GB2312" w:hAnsi="仿宋_GB2312" w:eastAsia="仿宋_GB2312" w:cs="仿宋_GB2312"/>
          <w:sz w:val="24"/>
          <w:lang w:val="en-US" w:eastAsia="zh-CN"/>
        </w:rPr>
        <w:t xml:space="preserve">  </w:t>
      </w:r>
    </w:p>
    <w:tbl>
      <w:tblPr>
        <w:tblStyle w:val="4"/>
        <w:tblpPr w:leftFromText="180" w:rightFromText="180" w:vertAnchor="page" w:horzAnchor="page" w:tblpX="2006" w:tblpY="94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3655"/>
        <w:gridCol w:w="3075"/>
        <w:gridCol w:w="6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序号</w:t>
            </w:r>
          </w:p>
        </w:tc>
        <w:tc>
          <w:tcPr>
            <w:tcW w:w="365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违法行为</w:t>
            </w:r>
          </w:p>
        </w:tc>
        <w:tc>
          <w:tcPr>
            <w:tcW w:w="307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sz w:val="30"/>
                <w:szCs w:val="30"/>
              </w:rPr>
            </w:pPr>
            <w:r>
              <w:rPr>
                <w:rFonts w:hint="eastAsia" w:ascii="黑体" w:hAnsi="黑体" w:eastAsia="黑体" w:cs="黑体"/>
                <w:color w:val="000000"/>
                <w:kern w:val="0"/>
                <w:sz w:val="30"/>
                <w:szCs w:val="30"/>
                <w:lang w:bidi="ar"/>
              </w:rPr>
              <w:t>适用情形</w:t>
            </w:r>
          </w:p>
        </w:tc>
        <w:tc>
          <w:tcPr>
            <w:tcW w:w="6245" w:type="dxa"/>
            <w:tcBorders>
              <w:tl2br w:val="nil"/>
              <w:tr2bl w:val="nil"/>
            </w:tcBorders>
            <w:noWrap w:val="0"/>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kern w:val="0"/>
                <w:sz w:val="30"/>
                <w:szCs w:val="30"/>
                <w:lang w:bidi="ar"/>
              </w:rPr>
            </w:pPr>
            <w:r>
              <w:rPr>
                <w:rFonts w:hint="eastAsia" w:ascii="黑体" w:hAnsi="黑体" w:eastAsia="黑体" w:cs="黑体"/>
                <w:color w:val="000000"/>
                <w:kern w:val="0"/>
                <w:sz w:val="30"/>
                <w:szCs w:val="30"/>
                <w:lang w:bidi="ar"/>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公司的发起人、股东虚假出资的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有限责任公司股东虚假出资金额在应出资金额30%以下，股份有限公司股东、发起人虚假出资金额在应出资金额10%以下；或者具有《通则》规定的其他从轻处罚情形。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公司的发起人、股东在公司成立后，抽逃出资的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有限责任公司股东抽逃出资金额在出资金额的30%以下、股份有限公司发起人抽逃出资金额在出资金额的10%以下；或者具有《通则》规定的其他从轻处罚情形。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《中华人民共和国公司法》第二百条：公司的发起人、股东在公司成立后，抽逃其出资的，由公司登记机关责令改正，处以所抽逃出资金额百分之五以上百分之十五以下的罚款。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公司在进行清算时，隐匿财产，对资产负债表或者财产清单作虚假记载或者在未清偿债务前分配公司财产的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隐匿财产或未清偿债务前分配公司财产金额在清算财产的30％以下；或者具有《通则》规定的其他从轻处罚情形。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《中华人民共和国公司法》</w:t>
            </w:r>
            <w:r>
              <w:rPr>
                <w:rFonts w:hint="eastAsia" w:ascii="仿宋_GB2312" w:hAnsi="仿宋_GB2312" w:eastAsia="仿宋_GB2312" w:cs="仿宋_GB2312"/>
                <w:sz w:val="24"/>
              </w:rPr>
              <w:t xml:space="preserve"> 第二百零四条第二款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4"/>
                <w:lang w:val="en-US" w:eastAsia="zh-CN"/>
              </w:rPr>
              <w:t>4</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承担资产评估、验资或者验证的机构提供虚假材料的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违法所得在2万元以下；或者具有《通则》规定的其他从轻处罚情形。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公司法》第二百零七条第一款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承担资产评估、验资或者验证的机构提供虚假材料的，由公司登记机关没收违法所得，处以违法所得一倍以上五倍以下的罚款，并可以由有关主管部门依法责令该机构停业、吊销直接责任人员的资格证书，吊销营业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提交虚假文件或者采取其他欺骗手段，取得合伙企业登记的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提交涉及住所证明等一般虚假证明文件或采取其他欺骗手段，未造成他人利益损害等危害后果；或者具有《通则》规定的其他从轻处罚情形。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合伙企业法》第九十三条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违反本法规定，提交虚假文件或者采取其他欺骗手段，取得合伙企业登记的，由企业登记机关责令改正，处以五千元以上五万元以下的罚款；情节严重的，撤销企业登记，并处以五万元以上二十万元以下的罚款。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违反《中华人民共和国广告法》第九条第三项，广告中使用“国家级”、“最高级”、“最佳”等绝对化用语</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初次违法；或者具有《通则》规定的其他从轻处罚情形。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广告法》第五十七条第一项：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一）发布有本法第九条、第十条规定的禁止情形的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生产国家明令淘汰的产品的，销售国家明令淘汰并停止销售的产品的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产品未售出或已追回；或者具有《通则》规定的其他从轻处罚情形。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《中华人民共和国产品质量法》第五十一条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bidi="ar"/>
              </w:rPr>
              <w:t>8</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销售失效、变质的产品的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产品未售出或已追回；或者具有《通则》规定的其他从轻处罚情形。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《中华人民共和国产品质量法》第五十二条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销售失效、变质的产品的，责令停止销售，没收违法销售的产品，并处违法销售产品货值金额二倍以下的罚款；有违法所得的，并处没收违法所得；情节严重的，吊销营业执照;构成犯罪的，依法追究刑事责任。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9</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企业未经许可擅自生产列入目录的产品的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产品合格；或者具有《通则》规定的其他从轻处罚情形。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《中华人民共和国工业产品生产许可证管理条例》第四十五条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10</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销售或者在经营活动中使用未取得生产许可证的列入目录的产品</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货值金额5万元以下；或者具有《通则》规定的其他从轻处罚情形。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1</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检验机构和检验人员从事与其检验的列入目录产品相关的生产、销售活动</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初次违法；或者具有《通则》规定的其他从轻处罚情形。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中华人民共和国工业产品生产许可证管理条例》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2</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计量偏差超出国家和本省有关规定的</w:t>
            </w:r>
            <w:r>
              <w:rPr>
                <w:rFonts w:hint="eastAsia" w:ascii="仿宋_GB2312" w:hAnsi="仿宋_GB2312" w:eastAsia="仿宋_GB2312" w:cs="仿宋_GB2312"/>
                <w:sz w:val="24"/>
                <w:lang w:eastAsia="zh-CN"/>
              </w:rPr>
              <w:t>或</w:t>
            </w:r>
            <w:r>
              <w:rPr>
                <w:rFonts w:hint="eastAsia" w:ascii="仿宋_GB2312" w:hAnsi="仿宋_GB2312" w:eastAsia="仿宋_GB2312" w:cs="仿宋_GB2312"/>
                <w:sz w:val="24"/>
              </w:rPr>
              <w:t>改变计量器具准确度的</w:t>
            </w:r>
            <w:r>
              <w:rPr>
                <w:rFonts w:hint="eastAsia" w:ascii="仿宋_GB2312" w:hAnsi="仿宋_GB2312" w:eastAsia="仿宋_GB2312" w:cs="仿宋_GB2312"/>
                <w:sz w:val="24"/>
                <w:lang w:eastAsia="zh-CN"/>
              </w:rPr>
              <w:t>行为，</w:t>
            </w:r>
            <w:r>
              <w:rPr>
                <w:rFonts w:hint="eastAsia" w:ascii="仿宋_GB2312" w:hAnsi="仿宋_GB2312" w:eastAsia="仿宋_GB2312" w:cs="仿宋_GB2312"/>
                <w:sz w:val="24"/>
              </w:rPr>
              <w:t>损害社会公共利益和他人利益的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计量偏差超出国家和本省规定20%以下；或者具有《通则》规定的其他从轻处罚情形。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《河南省计量监督管理条例》第三十九条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违反本条例规定的下列行为，损害社会公共利益和他人利益的，责令改正，没收不合格计量器具，没收违法所得，并处违法所得一倍以上五倍以下的罚款：</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（一）计量偏差超出国家和本省有关规定的；</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（二）改变计量器具准确度的。</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 xml:space="preserve">    给用户和消费者造成损失的，责令补足商品数量，增加赔偿商品价款一倍的损失。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3</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未取得食品生产经营许可从事食品生产经营活动</w:t>
            </w:r>
            <w:r>
              <w:rPr>
                <w:rFonts w:hint="eastAsia" w:ascii="仿宋_GB2312" w:hAnsi="仿宋_GB2312" w:eastAsia="仿宋_GB2312" w:cs="仿宋_GB2312"/>
                <w:sz w:val="24"/>
                <w:lang w:eastAsia="zh-CN"/>
              </w:rPr>
              <w:t>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食品、食品添加剂符合食品安全标准；或者具有《通则》规定的其他从轻处罚情形。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食品安全法》第一百二十二条第一款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14</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生产经营被包装材料、容器、运输工具等污染的食品、食品添加剂</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货值金额不超过3000元；或者具有《通则》规定的其他从轻处罚情形。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食品安全法》第一百二十五条第一款</w:t>
            </w:r>
            <w:r>
              <w:rPr>
                <w:rFonts w:hint="eastAsia" w:ascii="仿宋_GB2312" w:hAnsi="仿宋_GB2312" w:eastAsia="仿宋_GB2312" w:cs="仿宋_GB2312"/>
                <w:sz w:val="24"/>
                <w:lang w:eastAsia="zh-CN"/>
              </w:rPr>
              <w:t>第一项</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（一）生产经营被包装材料、容器、运输工具等污染的食品、食品添加剂</w:t>
            </w:r>
          </w:p>
          <w:p>
            <w:pPr>
              <w:widowControl/>
              <w:spacing w:line="300" w:lineRule="exact"/>
              <w:jc w:val="left"/>
              <w:textAlignment w:val="top"/>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15</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eastAsia="zh-CN"/>
              </w:rPr>
            </w:pPr>
            <w:r>
              <w:rPr>
                <w:rFonts w:hint="eastAsia" w:ascii="仿宋_GB2312" w:hAnsi="仿宋_GB2312" w:eastAsia="仿宋_GB2312" w:cs="仿宋_GB2312"/>
                <w:sz w:val="24"/>
              </w:rPr>
              <w:t>网络食品交易第三方平台提供者未对入网食品经营者进行实名登记、审查许可证，或者未履行报告、停止提供网络交易平台服务等义务的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rPr>
            </w:pPr>
            <w:r>
              <w:rPr>
                <w:rFonts w:hint="eastAsia" w:ascii="仿宋_GB2312" w:hAnsi="仿宋_GB2312" w:eastAsia="仿宋_GB2312" w:cs="仿宋_GB2312"/>
                <w:sz w:val="24"/>
              </w:rPr>
              <w:t>违法行为持续时间一个月以下；或者具有《通则》规定的其他从轻处罚情形。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中华人民共和国</w:t>
            </w:r>
            <w:r>
              <w:rPr>
                <w:rFonts w:hint="eastAsia" w:ascii="仿宋_GB2312" w:hAnsi="仿宋_GB2312" w:eastAsia="仿宋_GB2312" w:cs="仿宋_GB2312"/>
                <w:sz w:val="24"/>
              </w:rPr>
              <w:t>食品安全法》第一百三十一条第一款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16</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小作坊和小经营店生产经营禁止生产经营的食品的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货值金额不超过3000元；或者具有《通则》规定的其他从轻处罚情形。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《河南省食品小作坊、小经营店和小摊点管理条例》第四十四条</w:t>
            </w:r>
            <w:r>
              <w:rPr>
                <w:rFonts w:hint="eastAsia" w:ascii="仿宋_GB2312" w:hAnsi="仿宋_GB2312" w:eastAsia="仿宋_GB2312" w:cs="仿宋_GB2312"/>
                <w:sz w:val="24"/>
                <w:lang w:eastAsia="zh-CN"/>
              </w:rPr>
              <w:t>第一项：</w:t>
            </w:r>
            <w:r>
              <w:rPr>
                <w:rFonts w:hint="eastAsia" w:ascii="仿宋_GB2312" w:hAnsi="仿宋_GB2312" w:eastAsia="仿宋_GB2312" w:cs="仿宋_GB2312"/>
                <w:sz w:val="24"/>
              </w:rPr>
              <w:t>违反本条例规定，小作坊和小经营店有下列行为之一，由县级人民政府食品药品监督管理部门没收违法所得，没收不符合食品安全标准和要求的食品和食品原料，处一万元以上十万元以下罚款；情节严重的，责令停产停业：</w:t>
            </w:r>
          </w:p>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　　（一）生产经营禁止生产经营的食品的</w:t>
            </w:r>
          </w:p>
          <w:p>
            <w:pPr>
              <w:widowControl/>
              <w:spacing w:line="300" w:lineRule="exact"/>
              <w:jc w:val="left"/>
              <w:textAlignment w:val="top"/>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811" w:type="dxa"/>
            <w:tcBorders>
              <w:tl2br w:val="nil"/>
              <w:tr2bl w:val="nil"/>
            </w:tcBorders>
            <w:noWrap w:val="0"/>
            <w:tcMar>
              <w:top w:w="15" w:type="dxa"/>
              <w:left w:w="15" w:type="dxa"/>
              <w:right w:w="15" w:type="dxa"/>
            </w:tcMar>
            <w:vAlign w:val="center"/>
          </w:tcPr>
          <w:p>
            <w:pPr>
              <w:widowControl/>
              <w:spacing w:line="300" w:lineRule="exact"/>
              <w:jc w:val="center"/>
              <w:textAlignment w:val="top"/>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17</w:t>
            </w:r>
          </w:p>
        </w:tc>
        <w:tc>
          <w:tcPr>
            <w:tcW w:w="365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擅自开办碘盐加工企业或者未经批准从事碘盐批发业务的</w:t>
            </w:r>
          </w:p>
        </w:tc>
        <w:tc>
          <w:tcPr>
            <w:tcW w:w="3075" w:type="dxa"/>
            <w:tcBorders>
              <w:tl2br w:val="nil"/>
              <w:tr2bl w:val="nil"/>
            </w:tcBorders>
            <w:noWrap w:val="0"/>
            <w:tcMar>
              <w:top w:w="15" w:type="dxa"/>
              <w:left w:w="15" w:type="dxa"/>
              <w:right w:w="15" w:type="dxa"/>
            </w:tcMar>
            <w:vAlign w:val="center"/>
          </w:tcPr>
          <w:p>
            <w:pPr>
              <w:widowControl/>
              <w:spacing w:line="300" w:lineRule="exact"/>
              <w:jc w:val="left"/>
              <w:textAlignment w:val="top"/>
              <w:rPr>
                <w:rFonts w:hint="eastAsia" w:ascii="仿宋_GB2312" w:hAnsi="仿宋_GB2312" w:eastAsia="仿宋_GB2312" w:cs="仿宋_GB2312"/>
                <w:sz w:val="24"/>
              </w:rPr>
            </w:pPr>
            <w:r>
              <w:rPr>
                <w:rFonts w:hint="eastAsia" w:ascii="仿宋_GB2312" w:hAnsi="仿宋_GB2312" w:eastAsia="仿宋_GB2312" w:cs="仿宋_GB2312"/>
                <w:sz w:val="24"/>
              </w:rPr>
              <w:t>违法行为持续时间不超过一个月；或者具有《通则》规定的其他从轻处罚情形。</w:t>
            </w:r>
          </w:p>
        </w:tc>
        <w:tc>
          <w:tcPr>
            <w:tcW w:w="6245" w:type="dxa"/>
            <w:tcBorders>
              <w:tl2br w:val="nil"/>
              <w:tr2bl w:val="nil"/>
            </w:tcBorders>
            <w:noWrap w:val="0"/>
            <w:tcMar>
              <w:top w:w="15" w:type="dxa"/>
              <w:left w:w="15" w:type="dxa"/>
              <w:right w:w="15" w:type="dxa"/>
            </w:tcMar>
            <w:vAlign w:val="top"/>
          </w:tcPr>
          <w:p>
            <w:pPr>
              <w:widowControl/>
              <w:spacing w:line="300" w:lineRule="exact"/>
              <w:jc w:val="left"/>
              <w:textAlignment w:val="top"/>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《食盐加碘消除碘缺乏危害管理条例》第二十四条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违反本条例的规定，擅自开办碘盐加工企业或者未经批准从事碘盐批发业务的，由县级以上人民政府盐业主管机构责令停止加工或者批发碘盐，没收全部碘盐和违法所得，可以并处该盐产品价值3倍以下的罚款。</w:t>
            </w:r>
          </w:p>
        </w:tc>
      </w:tr>
    </w:tbl>
    <w:p>
      <w:pPr>
        <w:jc w:val="center"/>
        <w:rPr>
          <w:rFonts w:hint="eastAsia" w:ascii="宋体" w:hAnsi="宋体" w:eastAsia="宋体" w:cs="宋体"/>
          <w:sz w:val="44"/>
          <w:szCs w:val="44"/>
          <w:lang w:val="en-US" w:eastAsia="zh-CN"/>
        </w:rPr>
      </w:pPr>
      <w:r>
        <w:rPr>
          <w:rFonts w:hint="eastAsia" w:ascii="仿宋_GB2312" w:hAnsi="仿宋_GB2312" w:eastAsia="仿宋_GB2312" w:cs="仿宋_GB2312"/>
          <w:sz w:val="24"/>
          <w:lang w:val="en-US" w:eastAsia="zh-CN"/>
        </w:rPr>
        <w:t xml:space="preserve">  </w:t>
      </w:r>
      <w:bookmarkStart w:id="0" w:name="_GoBack"/>
      <w:bookmarkEnd w:id="0"/>
      <w:r>
        <w:rPr>
          <w:rFonts w:hint="eastAsia" w:ascii="仿宋_GB2312" w:hAnsi="仿宋_GB2312" w:eastAsia="仿宋_GB2312" w:cs="仿宋_GB2312"/>
          <w:sz w:val="24"/>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1097" w:leftChars="208" w:hanging="660" w:hangingChars="300"/>
        <w:jc w:val="left"/>
        <w:textAlignment w:val="auto"/>
        <w:outlineLvl w:val="9"/>
        <w:rPr>
          <w:rFonts w:hint="eastAsia" w:ascii="仿宋_GB2312" w:hAnsi="仿宋_GB2312" w:eastAsia="仿宋_GB2312" w:cs="仿宋_GB2312"/>
          <w:b w:val="0"/>
          <w:bCs/>
          <w:color w:val="000000"/>
          <w:sz w:val="22"/>
          <w:lang w:val="en-US" w:eastAsia="zh-CN"/>
        </w:rPr>
      </w:pPr>
      <w:r>
        <w:rPr>
          <w:rFonts w:hint="eastAsia" w:ascii="仿宋_GB2312" w:hAnsi="仿宋_GB2312" w:eastAsia="仿宋_GB2312" w:cs="仿宋_GB2312"/>
          <w:b w:val="0"/>
          <w:bCs/>
          <w:color w:val="000000"/>
          <w:sz w:val="22"/>
        </w:rPr>
        <w:t>备注：</w:t>
      </w:r>
      <w:r>
        <w:rPr>
          <w:rFonts w:hint="eastAsia" w:ascii="仿宋_GB2312" w:hAnsi="仿宋_GB2312" w:eastAsia="仿宋_GB2312" w:cs="仿宋_GB2312"/>
          <w:b w:val="0"/>
          <w:bCs/>
          <w:color w:val="000000"/>
          <w:sz w:val="22"/>
          <w:lang w:val="en-US" w:eastAsia="zh-CN"/>
        </w:rPr>
        <w:t>1.</w:t>
      </w:r>
      <w:r>
        <w:rPr>
          <w:rFonts w:hint="eastAsia" w:ascii="仿宋_GB2312" w:hAnsi="仿宋_GB2312" w:eastAsia="仿宋_GB2312" w:cs="仿宋_GB2312"/>
          <w:b w:val="0"/>
          <w:bCs/>
          <w:color w:val="000000"/>
          <w:sz w:val="22"/>
        </w:rPr>
        <w:t>本清单所列违法行为对应的适用</w:t>
      </w:r>
      <w:r>
        <w:rPr>
          <w:rFonts w:hint="eastAsia" w:ascii="仿宋_GB2312" w:hAnsi="仿宋_GB2312" w:eastAsia="仿宋_GB2312" w:cs="仿宋_GB2312"/>
          <w:b w:val="0"/>
          <w:bCs/>
          <w:color w:val="000000"/>
          <w:sz w:val="22"/>
          <w:lang w:val="en-US" w:eastAsia="zh-CN"/>
        </w:rPr>
        <w:t>情形</w:t>
      </w:r>
      <w:r>
        <w:rPr>
          <w:rFonts w:hint="eastAsia" w:ascii="仿宋_GB2312" w:hAnsi="仿宋_GB2312" w:eastAsia="仿宋_GB2312" w:cs="仿宋_GB2312"/>
          <w:b w:val="0"/>
          <w:bCs/>
          <w:color w:val="000000"/>
          <w:sz w:val="22"/>
        </w:rPr>
        <w:t>有两个或者两个以上的，</w:t>
      </w:r>
      <w:r>
        <w:rPr>
          <w:rFonts w:hint="eastAsia" w:ascii="仿宋_GB2312" w:hAnsi="仿宋_GB2312" w:eastAsia="仿宋_GB2312" w:cs="仿宋_GB2312"/>
          <w:b w:val="0"/>
          <w:bCs/>
          <w:color w:val="000000"/>
          <w:sz w:val="22"/>
          <w:lang w:val="en-US" w:eastAsia="zh-CN"/>
        </w:rPr>
        <w:t>除特殊说明外只需符合任意一项条件即</w:t>
      </w:r>
      <w:r>
        <w:rPr>
          <w:rFonts w:hint="eastAsia" w:ascii="仿宋_GB2312" w:hAnsi="仿宋_GB2312" w:eastAsia="仿宋_GB2312" w:cs="仿宋_GB2312"/>
          <w:b w:val="0"/>
          <w:bCs/>
          <w:color w:val="000000"/>
          <w:sz w:val="22"/>
        </w:rPr>
        <w:t>可实施</w:t>
      </w:r>
      <w:r>
        <w:rPr>
          <w:rFonts w:hint="eastAsia" w:ascii="仿宋_GB2312" w:hAnsi="仿宋_GB2312" w:eastAsia="仿宋_GB2312" w:cs="仿宋_GB2312"/>
          <w:b w:val="0"/>
          <w:bCs/>
          <w:color w:val="000000"/>
          <w:sz w:val="22"/>
          <w:lang w:val="en-US" w:eastAsia="zh-CN"/>
        </w:rPr>
        <w:t>从轻处罚</w:t>
      </w:r>
      <w:r>
        <w:rPr>
          <w:rFonts w:hint="eastAsia" w:ascii="仿宋_GB2312" w:hAnsi="仿宋_GB2312" w:eastAsia="仿宋_GB2312" w:cs="仿宋_GB2312"/>
          <w:b w:val="0"/>
          <w:bCs/>
          <w:color w:val="000000"/>
          <w:sz w:val="22"/>
        </w:rPr>
        <w:t>。</w:t>
      </w:r>
      <w:r>
        <w:rPr>
          <w:rFonts w:hint="eastAsia" w:ascii="仿宋_GB2312" w:hAnsi="仿宋_GB2312" w:eastAsia="仿宋_GB2312" w:cs="仿宋_GB2312"/>
          <w:b w:val="0"/>
          <w:bCs/>
          <w:color w:val="000000"/>
          <w:sz w:val="22"/>
          <w:lang w:eastAsia="zh-CN"/>
        </w:rPr>
        <w:t>但如果同时具有从重情节的，应结合案件综合考量做出决定。</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Chars="-92" w:firstLine="1320" w:firstLineChars="600"/>
        <w:jc w:val="left"/>
        <w:textAlignment w:val="auto"/>
        <w:outlineLvl w:val="9"/>
        <w:rPr>
          <w:rFonts w:hint="eastAsia" w:ascii="仿宋_GB2312" w:hAnsi="仿宋_GB2312" w:eastAsia="仿宋_GB2312" w:cs="仿宋_GB2312"/>
          <w:b w:val="0"/>
          <w:bCs/>
          <w:color w:val="000000"/>
          <w:sz w:val="22"/>
          <w:lang w:val="en-US" w:eastAsia="zh-CN"/>
        </w:rPr>
      </w:pPr>
      <w:r>
        <w:rPr>
          <w:rFonts w:hint="eastAsia" w:ascii="仿宋_GB2312" w:hAnsi="仿宋_GB2312" w:eastAsia="仿宋_GB2312" w:cs="仿宋_GB2312"/>
          <w:b w:val="0"/>
          <w:bCs/>
          <w:color w:val="000000"/>
          <w:sz w:val="22"/>
          <w:lang w:val="en-US" w:eastAsia="zh-CN"/>
        </w:rPr>
        <w:t>2.本清单使用情形中所述《通则》是指《河南省市场监督管理行政处罚裁量权适用通则》。</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1092" w:leftChars="520" w:firstLine="0" w:firstLineChars="0"/>
        <w:jc w:val="left"/>
        <w:textAlignment w:val="auto"/>
        <w:outlineLvl w:val="9"/>
        <w:rPr>
          <w:rFonts w:hint="eastAsia" w:ascii="仿宋_GB2312" w:hAnsi="仿宋_GB2312" w:eastAsia="仿宋_GB2312" w:cs="仿宋_GB2312"/>
          <w:b w:val="0"/>
          <w:bCs/>
          <w:color w:val="000000"/>
          <w:sz w:val="22"/>
          <w:lang w:val="en-US" w:eastAsia="zh-CN"/>
        </w:rPr>
      </w:pPr>
      <w:r>
        <w:rPr>
          <w:rFonts w:hint="eastAsia" w:ascii="仿宋_GB2312" w:hAnsi="仿宋_GB2312" w:eastAsia="仿宋_GB2312" w:cs="仿宋_GB2312"/>
          <w:b w:val="0"/>
          <w:bCs/>
          <w:color w:val="000000"/>
          <w:sz w:val="22"/>
          <w:lang w:val="en-US" w:eastAsia="zh-CN"/>
        </w:rPr>
        <w:t>3.</w:t>
      </w:r>
      <w:r>
        <w:rPr>
          <w:rFonts w:hint="eastAsia" w:ascii="仿宋_GB2312" w:hAnsi="仿宋_GB2312" w:eastAsia="仿宋_GB2312" w:cs="仿宋_GB2312"/>
          <w:b w:val="0"/>
          <w:bCs/>
          <w:color w:val="000000"/>
          <w:sz w:val="22"/>
        </w:rPr>
        <w:t>《通则》规定的</w:t>
      </w:r>
      <w:r>
        <w:rPr>
          <w:rFonts w:hint="eastAsia" w:ascii="仿宋_GB2312" w:hAnsi="仿宋_GB2312" w:eastAsia="仿宋_GB2312" w:cs="仿宋_GB2312"/>
          <w:b w:val="0"/>
          <w:bCs/>
          <w:color w:val="000000"/>
          <w:sz w:val="22"/>
          <w:lang w:eastAsia="zh-CN"/>
        </w:rPr>
        <w:t>应当</w:t>
      </w:r>
      <w:r>
        <w:rPr>
          <w:rFonts w:hint="eastAsia" w:ascii="仿宋_GB2312" w:hAnsi="仿宋_GB2312" w:eastAsia="仿宋_GB2312" w:cs="仿宋_GB2312"/>
          <w:b w:val="0"/>
          <w:bCs/>
          <w:color w:val="000000"/>
          <w:sz w:val="22"/>
        </w:rPr>
        <w:t>从轻</w:t>
      </w:r>
      <w:r>
        <w:rPr>
          <w:rFonts w:hint="eastAsia" w:ascii="仿宋_GB2312" w:hAnsi="仿宋_GB2312" w:eastAsia="仿宋_GB2312" w:cs="仿宋_GB2312"/>
          <w:b w:val="0"/>
          <w:bCs/>
          <w:color w:val="000000"/>
          <w:sz w:val="22"/>
          <w:lang w:eastAsia="zh-CN"/>
        </w:rPr>
        <w:t>或者减轻行政</w:t>
      </w:r>
      <w:r>
        <w:rPr>
          <w:rFonts w:hint="eastAsia" w:ascii="仿宋_GB2312" w:hAnsi="仿宋_GB2312" w:eastAsia="仿宋_GB2312" w:cs="仿宋_GB2312"/>
          <w:b w:val="0"/>
          <w:bCs/>
          <w:color w:val="000000"/>
          <w:sz w:val="22"/>
        </w:rPr>
        <w:t>处罚情形</w:t>
      </w:r>
      <w:r>
        <w:rPr>
          <w:rFonts w:hint="eastAsia" w:ascii="仿宋_GB2312" w:hAnsi="仿宋_GB2312" w:eastAsia="仿宋_GB2312" w:cs="仿宋_GB2312"/>
          <w:b w:val="0"/>
          <w:bCs/>
          <w:color w:val="000000"/>
          <w:sz w:val="22"/>
          <w:lang w:eastAsia="zh-CN"/>
        </w:rPr>
        <w:t>：</w:t>
      </w:r>
      <w:r>
        <w:rPr>
          <w:rFonts w:hint="eastAsia" w:ascii="仿宋_GB2312" w:hAnsi="仿宋_GB2312" w:eastAsia="仿宋_GB2312" w:cs="仿宋_GB2312"/>
          <w:b w:val="0"/>
          <w:bCs/>
          <w:color w:val="000000"/>
          <w:sz w:val="22"/>
        </w:rPr>
        <w:t>已满十四周岁不满十八周岁的人有违法行为的；主动消除或者减轻违法行为危害后果的；受他人胁迫或者诱骗实施违法行为的；主动供述行政机关尚未掌握的违法行为的；配合行政机关查处违法行为有立功表现的，包括但不限于当事人揭发市场监管部门尚未掌握的市场监管领域重大违法行为或者提供查处市场监督管理领域其他重大违法行为关键线索和证据，并经查证属实的；法律、法规、规章规定其他应当依法从轻或者减轻行政处罚的。</w:t>
      </w:r>
    </w:p>
    <w:p>
      <w:pPr>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1092" w:leftChars="520" w:firstLine="0" w:firstLineChars="0"/>
        <w:jc w:val="left"/>
        <w:textAlignment w:val="auto"/>
        <w:outlineLvl w:val="9"/>
        <w:rPr>
          <w:rFonts w:hint="eastAsia" w:ascii="仿宋_GB2312" w:hAnsi="仿宋_GB2312" w:eastAsia="仿宋_GB2312" w:cs="仿宋_GB2312"/>
          <w:b w:val="0"/>
          <w:bCs/>
          <w:color w:val="000000"/>
          <w:sz w:val="22"/>
        </w:rPr>
      </w:pPr>
      <w:r>
        <w:rPr>
          <w:rFonts w:hint="eastAsia" w:ascii="仿宋_GB2312" w:hAnsi="仿宋_GB2312" w:eastAsia="仿宋_GB2312" w:cs="仿宋_GB2312"/>
          <w:b w:val="0"/>
          <w:bCs/>
          <w:color w:val="000000"/>
          <w:sz w:val="22"/>
          <w:lang w:val="en-US" w:eastAsia="zh-CN"/>
        </w:rPr>
        <w:t>4.</w:t>
      </w:r>
      <w:r>
        <w:rPr>
          <w:rFonts w:hint="eastAsia" w:ascii="仿宋_GB2312" w:hAnsi="仿宋_GB2312" w:eastAsia="仿宋_GB2312" w:cs="仿宋_GB2312"/>
          <w:b w:val="0"/>
          <w:bCs/>
          <w:color w:val="000000"/>
          <w:sz w:val="22"/>
        </w:rPr>
        <w:t>《通则》规定的</w:t>
      </w:r>
      <w:r>
        <w:rPr>
          <w:rFonts w:hint="eastAsia" w:ascii="仿宋_GB2312" w:hAnsi="仿宋_GB2312" w:eastAsia="仿宋_GB2312" w:cs="仿宋_GB2312"/>
          <w:b w:val="0"/>
          <w:bCs/>
          <w:color w:val="000000"/>
          <w:sz w:val="22"/>
          <w:lang w:eastAsia="zh-CN"/>
        </w:rPr>
        <w:t>应当</w:t>
      </w:r>
      <w:r>
        <w:rPr>
          <w:rFonts w:hint="eastAsia" w:ascii="仿宋_GB2312" w:hAnsi="仿宋_GB2312" w:eastAsia="仿宋_GB2312" w:cs="仿宋_GB2312"/>
          <w:b w:val="0"/>
          <w:bCs/>
          <w:color w:val="000000"/>
          <w:sz w:val="22"/>
        </w:rPr>
        <w:t>从轻</w:t>
      </w:r>
      <w:r>
        <w:rPr>
          <w:rFonts w:hint="eastAsia" w:ascii="仿宋_GB2312" w:hAnsi="仿宋_GB2312" w:eastAsia="仿宋_GB2312" w:cs="仿宋_GB2312"/>
          <w:b w:val="0"/>
          <w:bCs/>
          <w:color w:val="000000"/>
          <w:sz w:val="22"/>
          <w:lang w:eastAsia="zh-CN"/>
        </w:rPr>
        <w:t>或者减轻行政</w:t>
      </w:r>
      <w:r>
        <w:rPr>
          <w:rFonts w:hint="eastAsia" w:ascii="仿宋_GB2312" w:hAnsi="仿宋_GB2312" w:eastAsia="仿宋_GB2312" w:cs="仿宋_GB2312"/>
          <w:b w:val="0"/>
          <w:bCs/>
          <w:color w:val="000000"/>
          <w:sz w:val="22"/>
        </w:rPr>
        <w:t>处罚情形</w:t>
      </w:r>
      <w:r>
        <w:rPr>
          <w:rFonts w:hint="eastAsia" w:ascii="仿宋_GB2312" w:hAnsi="仿宋_GB2312" w:eastAsia="仿宋_GB2312" w:cs="仿宋_GB2312"/>
          <w:b w:val="0"/>
          <w:bCs/>
          <w:color w:val="000000"/>
          <w:sz w:val="22"/>
          <w:lang w:eastAsia="zh-CN"/>
        </w:rPr>
        <w:t>：</w:t>
      </w:r>
      <w:r>
        <w:rPr>
          <w:rFonts w:hint="eastAsia" w:ascii="仿宋_GB2312" w:hAnsi="仿宋_GB2312" w:eastAsia="仿宋_GB2312" w:cs="仿宋_GB2312"/>
          <w:b w:val="0"/>
          <w:bCs/>
          <w:color w:val="000000"/>
          <w:sz w:val="22"/>
        </w:rPr>
        <w:t>积极配合市场监管部门调查，如实陈述违法事实并主动提供证据材料的；违法行为轻微且社会危害性较小的；在共同违法行为中起次要或者辅助作用的；当事人有充分证据证明不存在重大过失的；违法行为人因残疾或者重大疾病等原因生活确有困难的；尚未完全丧失辨认或者控制自己行为能力的精神病人、智力残疾者实施违法行为的；其他可以依法从轻或者减轻行政处罚的。</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TUxNzdjMjNiODlkYjcyNDhhMDg1YThmM2UyYjcifQ=="/>
  </w:docVars>
  <w:rsids>
    <w:rsidRoot w:val="12EE2644"/>
    <w:rsid w:val="12EE2644"/>
    <w:rsid w:val="29E5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w w:val="88"/>
      <w:szCs w:val="21"/>
    </w:rPr>
  </w:style>
  <w:style w:type="paragraph" w:styleId="3">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4233</Words>
  <Characters>4264</Characters>
  <Lines>0</Lines>
  <Paragraphs>0</Paragraphs>
  <TotalTime>1</TotalTime>
  <ScaleCrop>false</ScaleCrop>
  <LinksUpToDate>false</LinksUpToDate>
  <CharactersWithSpaces>4305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2023-01-11T14:00:00Z</dcterms:created>
  <dc:creator>李明轩</dc:creator>
  <cp:lastModifiedBy>李明轩</cp:lastModifiedBy>
  <dcterms:modified xsi:type="dcterms:W3CDTF">2023-01-11T14:02:59Z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956E39A747B748AD931434EFF18EB702</vt:lpwstr>
  </property>
</Properties>
</file>